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12" w:rsidRPr="00C627BC" w:rsidRDefault="00977939" w:rsidP="00C627BC">
      <w:pPr>
        <w:spacing w:after="120" w:line="288" w:lineRule="auto"/>
        <w:rPr>
          <w:rFonts w:ascii="Arial" w:eastAsia="Times New Roman" w:hAnsi="Arial" w:cs="Arial"/>
          <w:b/>
          <w:lang w:val="de-DE" w:eastAsia="de-DE"/>
        </w:rPr>
      </w:pPr>
      <w:r>
        <w:rPr>
          <w:rFonts w:ascii="Arial" w:eastAsia="Times New Roman" w:hAnsi="Arial" w:cs="Arial"/>
          <w:b/>
          <w:lang w:val="de-DE" w:eastAsia="de-DE"/>
        </w:rPr>
        <w:t xml:space="preserve">Siblik </w:t>
      </w:r>
      <w:r w:rsidR="001F5D12" w:rsidRPr="00C627BC">
        <w:rPr>
          <w:rFonts w:ascii="Arial" w:eastAsia="Times New Roman" w:hAnsi="Arial" w:cs="Arial"/>
          <w:b/>
          <w:lang w:val="de-DE" w:eastAsia="de-DE"/>
        </w:rPr>
        <w:t>Presseinformation</w:t>
      </w:r>
    </w:p>
    <w:p w:rsidR="00C627BC" w:rsidRDefault="00C627BC" w:rsidP="00C627BC">
      <w:pPr>
        <w:spacing w:line="288" w:lineRule="auto"/>
        <w:rPr>
          <w:rFonts w:ascii="Arial" w:hAnsi="Arial" w:cs="Arial"/>
          <w:b/>
        </w:rPr>
      </w:pPr>
    </w:p>
    <w:p w:rsidR="000F0FE4" w:rsidRDefault="00977939" w:rsidP="00977939">
      <w:pPr>
        <w:pStyle w:val="TextA"/>
        <w:spacing w:line="408" w:lineRule="auto"/>
        <w:rPr>
          <w:rFonts w:ascii="Arial" w:eastAsiaTheme="minorHAnsi" w:hAnsi="Arial" w:cs="Arial"/>
          <w:b/>
          <w:color w:val="auto"/>
          <w:sz w:val="28"/>
          <w:szCs w:val="28"/>
          <w:bdr w:val="none" w:sz="0" w:space="0" w:color="auto"/>
          <w:lang w:val="de-AT" w:eastAsia="en-US"/>
        </w:rPr>
      </w:pPr>
      <w:r w:rsidRPr="00977939">
        <w:rPr>
          <w:rFonts w:ascii="Arial" w:eastAsiaTheme="minorHAnsi" w:hAnsi="Arial" w:cs="Arial"/>
          <w:b/>
          <w:color w:val="auto"/>
          <w:sz w:val="28"/>
          <w:szCs w:val="28"/>
          <w:bdr w:val="none" w:sz="0" w:space="0" w:color="auto"/>
          <w:lang w:val="de-AT" w:eastAsia="en-US"/>
        </w:rPr>
        <w:t>Mit der AMEDIO Professional+ von MENNEKES wird die Elektromobilität zum Geschäftsmodell</w:t>
      </w:r>
    </w:p>
    <w:p w:rsidR="00977939" w:rsidRDefault="00977939" w:rsidP="00977939">
      <w:pPr>
        <w:pStyle w:val="TextA"/>
        <w:spacing w:line="408" w:lineRule="auto"/>
        <w:rPr>
          <w:rFonts w:ascii="Arial" w:hAnsi="Arial" w:cs="Arial"/>
        </w:rPr>
      </w:pPr>
    </w:p>
    <w:p w:rsidR="00977939" w:rsidRPr="00977939" w:rsidRDefault="00977939" w:rsidP="00977939">
      <w:pPr>
        <w:pStyle w:val="TextA"/>
        <w:spacing w:line="408" w:lineRule="auto"/>
        <w:rPr>
          <w:rFonts w:ascii="Arial" w:hAnsi="Arial" w:cs="Arial"/>
          <w:b/>
          <w:bCs/>
          <w:sz w:val="20"/>
          <w:szCs w:val="20"/>
        </w:rPr>
      </w:pPr>
      <w:r w:rsidRPr="00977939">
        <w:rPr>
          <w:rFonts w:ascii="Arial" w:hAnsi="Arial" w:cs="Arial"/>
          <w:b/>
          <w:bCs/>
          <w:sz w:val="20"/>
          <w:szCs w:val="20"/>
        </w:rPr>
        <w:t>Die ideale Ladesäule für Industrie und Gewerbe!</w:t>
      </w:r>
    </w:p>
    <w:p w:rsidR="00977939" w:rsidRPr="00977939" w:rsidRDefault="00977939" w:rsidP="00977939">
      <w:pPr>
        <w:pStyle w:val="TextA"/>
        <w:spacing w:line="408" w:lineRule="auto"/>
        <w:rPr>
          <w:rFonts w:ascii="Arial" w:hAnsi="Arial" w:cs="Arial"/>
          <w:sz w:val="20"/>
          <w:szCs w:val="20"/>
        </w:rPr>
      </w:pPr>
      <w:r w:rsidRPr="00977939">
        <w:rPr>
          <w:rFonts w:ascii="Arial" w:hAnsi="Arial" w:cs="Arial"/>
          <w:sz w:val="20"/>
          <w:szCs w:val="20"/>
        </w:rPr>
        <w:t xml:space="preserve">Mit der neuen </w:t>
      </w:r>
      <w:r w:rsidRPr="00977939">
        <w:rPr>
          <w:rFonts w:ascii="Arial" w:hAnsi="Arial" w:cs="Arial"/>
          <w:sz w:val="20"/>
          <w:szCs w:val="20"/>
          <w:lang w:val="pt-PT"/>
        </w:rPr>
        <w:t xml:space="preserve">AMEDIO Professional+ </w:t>
      </w:r>
      <w:r w:rsidRPr="00977939">
        <w:rPr>
          <w:rFonts w:ascii="Arial" w:hAnsi="Arial" w:cs="Arial"/>
          <w:sz w:val="20"/>
          <w:szCs w:val="20"/>
        </w:rPr>
        <w:t>bietet MENNEKES eine Ladesäule, die alle wichtigen technischen Neuerungen in sich vereint, um</w:t>
      </w:r>
      <w:r w:rsidRPr="00977939">
        <w:rPr>
          <w:sz w:val="20"/>
          <w:szCs w:val="20"/>
        </w:rPr>
        <w:t xml:space="preserve"> </w:t>
      </w:r>
      <w:r w:rsidRPr="00977939">
        <w:rPr>
          <w:rFonts w:ascii="Arial" w:hAnsi="Arial" w:cs="Arial"/>
          <w:sz w:val="20"/>
          <w:szCs w:val="20"/>
        </w:rPr>
        <w:t>Betreiber von Ladesystemen aus Industrie und Gewerbe das perfekte Ladesystem für das Geschäft rund um Ladestrom zu ermöglichen.</w:t>
      </w:r>
    </w:p>
    <w:p w:rsidR="00977939" w:rsidRPr="00977939" w:rsidRDefault="00977939" w:rsidP="00977939">
      <w:pPr>
        <w:pStyle w:val="TextA"/>
        <w:spacing w:line="408" w:lineRule="auto"/>
        <w:rPr>
          <w:rFonts w:ascii="Arial" w:hAnsi="Arial" w:cs="Arial"/>
          <w:sz w:val="20"/>
          <w:szCs w:val="20"/>
        </w:rPr>
      </w:pPr>
    </w:p>
    <w:p w:rsidR="00977939" w:rsidRPr="00977939" w:rsidRDefault="00977939" w:rsidP="00977939">
      <w:pPr>
        <w:pStyle w:val="TextA"/>
        <w:spacing w:line="408" w:lineRule="auto"/>
        <w:rPr>
          <w:rFonts w:ascii="Arial" w:hAnsi="Arial" w:cs="Arial"/>
          <w:sz w:val="20"/>
          <w:szCs w:val="20"/>
        </w:rPr>
      </w:pPr>
      <w:r w:rsidRPr="00977939">
        <w:rPr>
          <w:rFonts w:ascii="Arial" w:hAnsi="Arial" w:cs="Arial"/>
          <w:sz w:val="20"/>
          <w:szCs w:val="20"/>
        </w:rPr>
        <w:t>Die Verkaufszahlen für Elektrofahrzeuge steigen und somit wollen immer mehr Autofahrer ihr Fahrzeug laden. Und zwar genau dort, wo sie ihr Fahrzeug abstellen: auf Firmen- und Kundenparkplätzen, in den Tiefgaragen von Hotels oder Shoppingmalls. Mit der neu entwickelten Ladesäule AMEDIO Professional+ von MENNEKES erhalten Gebäudeplaner, Vermieter, Hoteliers und generell Unternehmen und Gewerbetreibende die Option, ihren Kunden und Mitarbeitern genau diesen Ladeservice an Ort und Stelle zur Verfügung zu stellen und den Ladestrom mit ihnen abzurechnen.</w:t>
      </w:r>
    </w:p>
    <w:p w:rsidR="00977939" w:rsidRPr="00977939" w:rsidRDefault="00977939" w:rsidP="00977939">
      <w:pPr>
        <w:pStyle w:val="TextA"/>
        <w:spacing w:line="408" w:lineRule="auto"/>
        <w:rPr>
          <w:rFonts w:ascii="Arial" w:hAnsi="Arial" w:cs="Arial"/>
          <w:sz w:val="20"/>
          <w:szCs w:val="20"/>
        </w:rPr>
      </w:pPr>
    </w:p>
    <w:p w:rsidR="00977939" w:rsidRPr="00977939" w:rsidRDefault="00977939" w:rsidP="00977939">
      <w:pPr>
        <w:pStyle w:val="TextA"/>
        <w:spacing w:line="408" w:lineRule="auto"/>
        <w:rPr>
          <w:rFonts w:ascii="Arial" w:hAnsi="Arial" w:cs="Arial"/>
          <w:b/>
          <w:bCs/>
          <w:sz w:val="20"/>
          <w:szCs w:val="20"/>
        </w:rPr>
      </w:pPr>
      <w:r w:rsidRPr="00977939">
        <w:rPr>
          <w:rFonts w:ascii="Arial" w:hAnsi="Arial" w:cs="Arial"/>
          <w:b/>
          <w:bCs/>
          <w:sz w:val="20"/>
          <w:szCs w:val="20"/>
        </w:rPr>
        <w:t xml:space="preserve">MENNEKES </w:t>
      </w:r>
      <w:r w:rsidRPr="00977939">
        <w:rPr>
          <w:rFonts w:ascii="Arial" w:hAnsi="Arial" w:cs="Arial"/>
          <w:b/>
          <w:bCs/>
          <w:sz w:val="20"/>
          <w:szCs w:val="20"/>
          <w:lang w:val="pt-PT"/>
        </w:rPr>
        <w:t>AMEDIO Professional+</w:t>
      </w:r>
      <w:r w:rsidRPr="00977939">
        <w:rPr>
          <w:rFonts w:ascii="Arial" w:hAnsi="Arial" w:cs="Arial"/>
          <w:b/>
          <w:bCs/>
          <w:sz w:val="20"/>
          <w:szCs w:val="20"/>
        </w:rPr>
        <w:t xml:space="preserve"> – die Ladesäule Made in Germany </w:t>
      </w:r>
    </w:p>
    <w:p w:rsidR="00977939" w:rsidRPr="00977939" w:rsidRDefault="00977939" w:rsidP="00977939">
      <w:pPr>
        <w:pStyle w:val="TextA"/>
        <w:spacing w:line="408" w:lineRule="auto"/>
        <w:rPr>
          <w:rFonts w:ascii="Arial" w:hAnsi="Arial" w:cs="Arial"/>
          <w:sz w:val="20"/>
          <w:szCs w:val="20"/>
        </w:rPr>
      </w:pPr>
      <w:r w:rsidRPr="00977939">
        <w:rPr>
          <w:rFonts w:ascii="Arial" w:hAnsi="Arial" w:cs="Arial"/>
          <w:sz w:val="20"/>
          <w:szCs w:val="20"/>
        </w:rPr>
        <w:t>MENNEKES gilt als Pionier der Elektromobilität und entwickelt seit über zehn Jahren marktgerechte und besonders langlebige und skalierbare Lösungen. Dabei kommt neueste Elektronik zum Einsatz, die Zukunftssicherheit und Kosten-Nutzen-Effizienz mit sinnvollen Features verbindet, zum Beispiel im Hinblick auf „Plug &amp; Charge“ Funktionalität (PnC), ein modernes Lastmanagement oder eine einfache Montage.</w:t>
      </w:r>
    </w:p>
    <w:p w:rsidR="00977939" w:rsidRPr="00977939" w:rsidRDefault="00977939" w:rsidP="00977939">
      <w:pPr>
        <w:pStyle w:val="TextA"/>
        <w:spacing w:line="408" w:lineRule="auto"/>
        <w:rPr>
          <w:rFonts w:ascii="Arial" w:hAnsi="Arial" w:cs="Arial"/>
          <w:sz w:val="20"/>
          <w:szCs w:val="20"/>
        </w:rPr>
      </w:pPr>
    </w:p>
    <w:p w:rsidR="00977939" w:rsidRDefault="00977939" w:rsidP="00977939">
      <w:pPr>
        <w:pStyle w:val="TextA"/>
        <w:spacing w:line="408" w:lineRule="auto"/>
        <w:rPr>
          <w:rFonts w:ascii="Arial" w:hAnsi="Arial" w:cs="Arial"/>
          <w:sz w:val="20"/>
          <w:szCs w:val="20"/>
        </w:rPr>
      </w:pPr>
      <w:r w:rsidRPr="00977939">
        <w:rPr>
          <w:rFonts w:ascii="Arial" w:hAnsi="Arial" w:cs="Arial"/>
          <w:sz w:val="20"/>
          <w:szCs w:val="20"/>
        </w:rPr>
        <w:t xml:space="preserve">Die wartungsarme </w:t>
      </w:r>
      <w:r w:rsidRPr="00977939">
        <w:rPr>
          <w:rFonts w:ascii="Arial" w:hAnsi="Arial" w:cs="Arial"/>
          <w:sz w:val="20"/>
          <w:szCs w:val="20"/>
          <w:lang w:val="pt-PT"/>
        </w:rPr>
        <w:t>AMEDIO Professional+</w:t>
      </w:r>
      <w:r w:rsidRPr="00977939">
        <w:rPr>
          <w:rFonts w:ascii="Arial" w:hAnsi="Arial" w:cs="Arial"/>
          <w:sz w:val="20"/>
          <w:szCs w:val="20"/>
        </w:rPr>
        <w:t xml:space="preserve">, bietet als freistehende Ladesäule die fortschrittlichsten Standards der Elektromobilität. So ermöglicht das integrierte Modem und der offene Kommunikationsstandard gemäß </w:t>
      </w:r>
      <w:r w:rsidRPr="00977939">
        <w:rPr>
          <w:rFonts w:ascii="Arial" w:hAnsi="Arial" w:cs="Arial"/>
          <w:b/>
          <w:bCs/>
          <w:sz w:val="20"/>
          <w:szCs w:val="20"/>
        </w:rPr>
        <w:t>O</w:t>
      </w:r>
      <w:r w:rsidRPr="00977939">
        <w:rPr>
          <w:rFonts w:ascii="Arial" w:hAnsi="Arial" w:cs="Arial"/>
          <w:sz w:val="20"/>
          <w:szCs w:val="20"/>
        </w:rPr>
        <w:t xml:space="preserve">pen </w:t>
      </w:r>
      <w:r w:rsidRPr="00977939">
        <w:rPr>
          <w:rFonts w:ascii="Arial" w:hAnsi="Arial" w:cs="Arial"/>
          <w:b/>
          <w:bCs/>
          <w:sz w:val="20"/>
          <w:szCs w:val="20"/>
        </w:rPr>
        <w:t>C</w:t>
      </w:r>
      <w:r w:rsidRPr="00977939">
        <w:rPr>
          <w:rFonts w:ascii="Arial" w:hAnsi="Arial" w:cs="Arial"/>
          <w:sz w:val="20"/>
          <w:szCs w:val="20"/>
        </w:rPr>
        <w:t xml:space="preserve">harge </w:t>
      </w:r>
      <w:r w:rsidRPr="00977939">
        <w:rPr>
          <w:rFonts w:ascii="Arial" w:hAnsi="Arial" w:cs="Arial"/>
          <w:b/>
          <w:bCs/>
          <w:sz w:val="20"/>
          <w:szCs w:val="20"/>
        </w:rPr>
        <w:t>P</w:t>
      </w:r>
      <w:r w:rsidRPr="00977939">
        <w:rPr>
          <w:rFonts w:ascii="Arial" w:hAnsi="Arial" w:cs="Arial"/>
          <w:sz w:val="20"/>
          <w:szCs w:val="20"/>
        </w:rPr>
        <w:t xml:space="preserve">oint </w:t>
      </w:r>
      <w:r w:rsidRPr="00977939">
        <w:rPr>
          <w:rFonts w:ascii="Arial" w:hAnsi="Arial" w:cs="Arial"/>
          <w:b/>
          <w:bCs/>
          <w:sz w:val="20"/>
          <w:szCs w:val="20"/>
        </w:rPr>
        <w:t>P</w:t>
      </w:r>
      <w:r w:rsidRPr="00977939">
        <w:rPr>
          <w:rFonts w:ascii="Arial" w:hAnsi="Arial" w:cs="Arial"/>
          <w:sz w:val="20"/>
          <w:szCs w:val="20"/>
        </w:rPr>
        <w:t xml:space="preserve">rotokoll </w:t>
      </w:r>
      <w:r w:rsidRPr="00977939">
        <w:rPr>
          <w:rFonts w:ascii="Arial" w:hAnsi="Arial" w:cs="Arial"/>
          <w:color w:val="auto"/>
          <w:sz w:val="20"/>
          <w:szCs w:val="20"/>
        </w:rPr>
        <w:t xml:space="preserve">(„OCPP“), </w:t>
      </w:r>
      <w:r w:rsidRPr="00977939">
        <w:rPr>
          <w:rFonts w:ascii="Arial" w:hAnsi="Arial" w:cs="Arial"/>
          <w:sz w:val="20"/>
          <w:szCs w:val="20"/>
        </w:rPr>
        <w:t xml:space="preserve">das ein Ladesystem sich mit verschiedenen Software-Backends </w:t>
      </w:r>
      <w:r w:rsidRPr="00977939">
        <w:rPr>
          <w:rFonts w:ascii="Arial" w:hAnsi="Arial" w:cs="Arial"/>
          <w:sz w:val="20"/>
          <w:szCs w:val="20"/>
        </w:rPr>
        <w:lastRenderedPageBreak/>
        <w:t>betreiben lässt. Ein solches System nutzt der Betreiber, um die Säule zu überwachen, zu steuern und die geladene Energie schließlich auch abzu</w:t>
      </w:r>
      <w:r>
        <w:rPr>
          <w:rFonts w:ascii="Arial" w:hAnsi="Arial" w:cs="Arial"/>
          <w:sz w:val="20"/>
          <w:szCs w:val="20"/>
        </w:rPr>
        <w:t>rechnen.</w:t>
      </w:r>
    </w:p>
    <w:p w:rsidR="00977939" w:rsidRPr="00977939" w:rsidRDefault="00977939" w:rsidP="00977939">
      <w:pPr>
        <w:pStyle w:val="TextA"/>
        <w:spacing w:line="408" w:lineRule="auto"/>
        <w:rPr>
          <w:rFonts w:ascii="Arial" w:hAnsi="Arial" w:cs="Arial"/>
          <w:sz w:val="20"/>
          <w:szCs w:val="20"/>
        </w:rPr>
      </w:pPr>
    </w:p>
    <w:p w:rsidR="00977939" w:rsidRPr="00977939" w:rsidRDefault="00977939" w:rsidP="00977939">
      <w:pPr>
        <w:pStyle w:val="TextA"/>
        <w:spacing w:line="408" w:lineRule="auto"/>
        <w:rPr>
          <w:rFonts w:ascii="Arial" w:hAnsi="Arial" w:cs="Arial"/>
          <w:sz w:val="20"/>
          <w:szCs w:val="20"/>
        </w:rPr>
      </w:pPr>
      <w:r w:rsidRPr="00977939">
        <w:rPr>
          <w:rFonts w:ascii="Arial" w:hAnsi="Arial" w:cs="Arial"/>
          <w:sz w:val="20"/>
          <w:szCs w:val="20"/>
        </w:rPr>
        <w:t xml:space="preserve">Da diese Abrechnung schnell sehr komplex und aufwändig wird, kann der Betreiber bei MENNEKES frei entscheiden, ob er selbst die Abrechnungsvorgänge durchführt oder diese Aufgabe an einen Dienstleister abgibt. </w:t>
      </w:r>
    </w:p>
    <w:p w:rsidR="00977939" w:rsidRDefault="00977939" w:rsidP="00977939">
      <w:pPr>
        <w:pStyle w:val="TextA"/>
        <w:spacing w:line="408" w:lineRule="auto"/>
        <w:rPr>
          <w:rFonts w:ascii="Arial" w:hAnsi="Arial" w:cs="Arial"/>
          <w:color w:val="auto"/>
          <w:sz w:val="20"/>
          <w:szCs w:val="20"/>
        </w:rPr>
      </w:pPr>
      <w:r w:rsidRPr="00977939">
        <w:rPr>
          <w:rFonts w:ascii="Arial" w:hAnsi="Arial" w:cs="Arial"/>
          <w:color w:val="auto"/>
          <w:sz w:val="20"/>
          <w:szCs w:val="20"/>
        </w:rPr>
        <w:t>Ob systemoffene Einzelsysteme oder vernetzte Komplettlösungen bis hin zur Abrechnung - MENNEKES bietet die Lösung.</w:t>
      </w:r>
    </w:p>
    <w:p w:rsidR="00977939" w:rsidRPr="00977939" w:rsidRDefault="00977939" w:rsidP="00977939">
      <w:pPr>
        <w:pStyle w:val="TextA"/>
        <w:spacing w:line="408" w:lineRule="auto"/>
        <w:rPr>
          <w:rFonts w:ascii="Arial" w:hAnsi="Arial" w:cs="Arial"/>
          <w:color w:val="auto"/>
          <w:sz w:val="20"/>
          <w:szCs w:val="20"/>
        </w:rPr>
      </w:pPr>
      <w:r w:rsidRPr="00977939">
        <w:rPr>
          <w:rFonts w:ascii="Arial" w:hAnsi="Arial" w:cs="Arial"/>
          <w:color w:val="auto"/>
          <w:sz w:val="20"/>
          <w:szCs w:val="20"/>
        </w:rPr>
        <w:t>Durch den Aufbau einer vernetzungsfähigen Ladeinfrastruktur kann also nicht nur ein effektiver Zusatznutzen für Kunden, Besucher und Mitarbeiter am Gewerbestandort entstehen. Durch die flexiblen Abrechnungsoptionen wird sie auch gleichzeitig für den Investor zu einer Verkaufsstelle für Ladestrom.</w:t>
      </w:r>
    </w:p>
    <w:p w:rsidR="00977939" w:rsidRDefault="00977939" w:rsidP="00977939">
      <w:pPr>
        <w:spacing w:before="40" w:after="240" w:line="300" w:lineRule="atLeast"/>
        <w:jc w:val="both"/>
        <w:rPr>
          <w:rFonts w:ascii="Arial" w:hAnsi="Arial" w:cs="Arial"/>
          <w:b/>
          <w:bCs/>
          <w:sz w:val="20"/>
          <w:szCs w:val="20"/>
          <w:u w:color="000000"/>
        </w:rPr>
      </w:pPr>
    </w:p>
    <w:p w:rsidR="00977939" w:rsidRPr="00977939" w:rsidRDefault="00977939" w:rsidP="00977939">
      <w:pPr>
        <w:spacing w:before="40" w:after="240" w:line="300" w:lineRule="atLeast"/>
        <w:jc w:val="both"/>
        <w:rPr>
          <w:rFonts w:ascii="Arial" w:hAnsi="Arial" w:cs="Arial"/>
          <w:b/>
          <w:bCs/>
          <w:sz w:val="20"/>
          <w:szCs w:val="20"/>
          <w:u w:color="000000"/>
        </w:rPr>
      </w:pPr>
      <w:r w:rsidRPr="00977939">
        <w:rPr>
          <w:rFonts w:ascii="Arial" w:hAnsi="Arial" w:cs="Arial"/>
          <w:b/>
          <w:bCs/>
          <w:sz w:val="20"/>
          <w:szCs w:val="20"/>
          <w:u w:color="000000"/>
        </w:rPr>
        <w:t>MENNEKES – Partner für Facility Manager</w:t>
      </w:r>
    </w:p>
    <w:p w:rsidR="00977939" w:rsidRPr="00977939" w:rsidRDefault="00977939" w:rsidP="00977939">
      <w:pPr>
        <w:pStyle w:val="TextA"/>
        <w:spacing w:line="408" w:lineRule="auto"/>
        <w:rPr>
          <w:rFonts w:ascii="Arial" w:hAnsi="Arial" w:cs="Arial"/>
          <w:sz w:val="20"/>
          <w:szCs w:val="20"/>
        </w:rPr>
      </w:pPr>
      <w:r w:rsidRPr="00977939">
        <w:rPr>
          <w:rFonts w:ascii="Arial" w:hAnsi="Arial" w:cs="Arial"/>
          <w:sz w:val="20"/>
          <w:szCs w:val="20"/>
        </w:rPr>
        <w:t xml:space="preserve">Die </w:t>
      </w:r>
      <w:r w:rsidRPr="00977939">
        <w:rPr>
          <w:rFonts w:ascii="Arial" w:hAnsi="Arial" w:cs="Arial"/>
          <w:sz w:val="20"/>
          <w:szCs w:val="20"/>
          <w:lang w:val="pt-PT"/>
        </w:rPr>
        <w:t>AMEDIO Professional+</w:t>
      </w:r>
      <w:r w:rsidRPr="00977939">
        <w:rPr>
          <w:rFonts w:ascii="Arial" w:hAnsi="Arial" w:cs="Arial"/>
          <w:sz w:val="20"/>
          <w:szCs w:val="20"/>
        </w:rPr>
        <w:t xml:space="preserve"> ist eine </w:t>
      </w:r>
      <w:r w:rsidRPr="00977939">
        <w:rPr>
          <w:rFonts w:ascii="Arial" w:hAnsi="Arial" w:cs="Arial"/>
          <w:color w:val="auto"/>
          <w:sz w:val="20"/>
          <w:szCs w:val="20"/>
        </w:rPr>
        <w:t xml:space="preserve">durchdachte Lösung </w:t>
      </w:r>
      <w:r w:rsidRPr="00977939">
        <w:rPr>
          <w:rFonts w:ascii="Arial" w:hAnsi="Arial" w:cs="Arial"/>
          <w:sz w:val="20"/>
          <w:szCs w:val="20"/>
        </w:rPr>
        <w:t>und empfiehlt sich für den Aufbau einer zukunftssicheren und gegenüber Umwelteinflüssen robusten Ladeinfrastruktur. Die Ladesäule entspricht hohen Sicherheitsanforderungen und gewährleistet ein übersichtliches Systemmonitoring und Lastmanagement. Gleichzeitig ist das System dank der Vernetzungsfähigkeit konsequent darauf ausgelegt, Teil einer ausbaufähigen Ladeinfrastruktur zu sein. Eine anforderungsgerechte und kundenfreundliche Bedienung stand bei der Entwicklung im Mittelpunkt.</w:t>
      </w:r>
    </w:p>
    <w:p w:rsidR="00977939" w:rsidRPr="00977939" w:rsidRDefault="00977939" w:rsidP="00977939">
      <w:pPr>
        <w:pStyle w:val="TextA"/>
        <w:spacing w:line="408" w:lineRule="auto"/>
        <w:rPr>
          <w:rFonts w:ascii="Arial" w:hAnsi="Arial" w:cs="Arial"/>
          <w:sz w:val="20"/>
          <w:szCs w:val="20"/>
        </w:rPr>
      </w:pPr>
    </w:p>
    <w:p w:rsidR="00977939" w:rsidRPr="00977939" w:rsidRDefault="00977939" w:rsidP="00977939">
      <w:pPr>
        <w:pStyle w:val="TextA"/>
        <w:spacing w:line="408" w:lineRule="auto"/>
        <w:rPr>
          <w:rFonts w:ascii="Arial" w:hAnsi="Arial" w:cs="Arial"/>
          <w:sz w:val="20"/>
          <w:szCs w:val="20"/>
        </w:rPr>
      </w:pPr>
      <w:r w:rsidRPr="00977939">
        <w:rPr>
          <w:rFonts w:ascii="Arial" w:hAnsi="Arial" w:cs="Arial"/>
          <w:sz w:val="20"/>
          <w:szCs w:val="20"/>
        </w:rPr>
        <w:t>In Summe erhält der Unternehmer oder Gewerbetreibende mit der neuen AMEDIO Ladesäule eine auf Kosten-Nutzen optimierte L</w:t>
      </w:r>
      <w:r w:rsidRPr="00977939">
        <w:rPr>
          <w:rFonts w:ascii="Arial" w:hAnsi="Arial" w:cs="Arial"/>
          <w:sz w:val="20"/>
          <w:szCs w:val="20"/>
          <w:lang w:val="sv-SE"/>
        </w:rPr>
        <w:t>ö</w:t>
      </w:r>
      <w:r w:rsidRPr="00977939">
        <w:rPr>
          <w:rFonts w:ascii="Arial" w:hAnsi="Arial" w:cs="Arial"/>
          <w:sz w:val="20"/>
          <w:szCs w:val="20"/>
        </w:rPr>
        <w:t>sung, die mit neuester Technik ausgestattet und auf Langlebigkeit ausgelegt ist.</w:t>
      </w:r>
    </w:p>
    <w:p w:rsidR="00977939" w:rsidRPr="00977939" w:rsidRDefault="00977939" w:rsidP="00977939">
      <w:pPr>
        <w:pStyle w:val="TextA"/>
        <w:spacing w:line="408" w:lineRule="auto"/>
        <w:rPr>
          <w:rFonts w:ascii="Arial" w:hAnsi="Arial" w:cs="Arial"/>
          <w:sz w:val="20"/>
          <w:szCs w:val="20"/>
        </w:rPr>
      </w:pPr>
    </w:p>
    <w:p w:rsidR="00977939" w:rsidRPr="00977939" w:rsidRDefault="00977939" w:rsidP="00977939">
      <w:pPr>
        <w:pStyle w:val="TextA"/>
        <w:spacing w:line="408" w:lineRule="auto"/>
        <w:rPr>
          <w:rFonts w:ascii="Arial" w:hAnsi="Arial" w:cs="Arial"/>
          <w:b/>
          <w:bCs/>
          <w:sz w:val="20"/>
          <w:szCs w:val="20"/>
        </w:rPr>
      </w:pPr>
      <w:r w:rsidRPr="00977939">
        <w:rPr>
          <w:rFonts w:ascii="Arial" w:hAnsi="Arial" w:cs="Arial"/>
          <w:b/>
          <w:bCs/>
          <w:sz w:val="20"/>
          <w:szCs w:val="20"/>
        </w:rPr>
        <w:t>MENNEKES – zukunftssicher für Betreiber und Kunden</w:t>
      </w:r>
    </w:p>
    <w:p w:rsidR="00977939" w:rsidRPr="00977939" w:rsidRDefault="00977939" w:rsidP="00977939">
      <w:pPr>
        <w:pStyle w:val="TextA"/>
        <w:spacing w:line="408" w:lineRule="auto"/>
        <w:rPr>
          <w:rFonts w:ascii="Arial" w:hAnsi="Arial" w:cs="Arial"/>
          <w:sz w:val="20"/>
          <w:szCs w:val="20"/>
        </w:rPr>
      </w:pPr>
      <w:r w:rsidRPr="00977939">
        <w:rPr>
          <w:rFonts w:ascii="Arial" w:hAnsi="Arial" w:cs="Arial"/>
          <w:sz w:val="20"/>
          <w:szCs w:val="20"/>
        </w:rPr>
        <w:t xml:space="preserve">„Mit der </w:t>
      </w:r>
      <w:r w:rsidRPr="00977939">
        <w:rPr>
          <w:rFonts w:ascii="Arial" w:hAnsi="Arial" w:cs="Arial"/>
          <w:sz w:val="20"/>
          <w:szCs w:val="20"/>
          <w:lang w:val="pt-PT"/>
        </w:rPr>
        <w:t>AMEDIO Professional+</w:t>
      </w:r>
      <w:r w:rsidRPr="00977939">
        <w:rPr>
          <w:rFonts w:ascii="Arial" w:hAnsi="Arial" w:cs="Arial"/>
          <w:sz w:val="20"/>
          <w:szCs w:val="20"/>
        </w:rPr>
        <w:t xml:space="preserve"> haben wir eine tolle neue und flexible Lösung für unsere Kunden aus Industrie und Gewerbe zur Marktreife gebracht. So kann die Ladesäule mit verschiedenen marktgerechten Features geordert werden: Mit </w:t>
      </w:r>
      <w:r w:rsidRPr="00977939">
        <w:rPr>
          <w:rFonts w:ascii="Arial" w:hAnsi="Arial" w:cs="Arial"/>
          <w:sz w:val="20"/>
          <w:szCs w:val="20"/>
        </w:rPr>
        <w:lastRenderedPageBreak/>
        <w:t xml:space="preserve">integriertem Modem und optionaler Plug &amp; Charge-Funktion, können Kunden die </w:t>
      </w:r>
      <w:r w:rsidRPr="00977939">
        <w:rPr>
          <w:rFonts w:ascii="Arial" w:hAnsi="Arial" w:cs="Arial"/>
          <w:sz w:val="20"/>
          <w:szCs w:val="20"/>
          <w:lang w:val="pt-PT"/>
        </w:rPr>
        <w:t>AMEDIO Professional+</w:t>
      </w:r>
      <w:r w:rsidRPr="00977939">
        <w:rPr>
          <w:rFonts w:ascii="Arial" w:hAnsi="Arial" w:cs="Arial"/>
          <w:sz w:val="20"/>
          <w:szCs w:val="20"/>
        </w:rPr>
        <w:t xml:space="preserve"> in genau der Form einsetzen, die für sie passt und den Nutzern den elektromobilen Alltag leicht macht. </w:t>
      </w:r>
    </w:p>
    <w:p w:rsidR="00977939" w:rsidRPr="00977939" w:rsidRDefault="00977939" w:rsidP="00977939">
      <w:pPr>
        <w:pStyle w:val="TextA"/>
        <w:spacing w:line="408" w:lineRule="auto"/>
        <w:rPr>
          <w:rFonts w:ascii="Arial" w:hAnsi="Arial" w:cs="Arial"/>
          <w:sz w:val="20"/>
          <w:szCs w:val="20"/>
        </w:rPr>
      </w:pPr>
    </w:p>
    <w:p w:rsidR="00977939" w:rsidRPr="00977939" w:rsidRDefault="00977939" w:rsidP="00977939">
      <w:pPr>
        <w:pStyle w:val="TextA"/>
        <w:spacing w:line="408" w:lineRule="auto"/>
        <w:rPr>
          <w:rFonts w:ascii="Arial" w:hAnsi="Arial" w:cs="Arial"/>
          <w:b/>
          <w:bCs/>
          <w:sz w:val="20"/>
          <w:szCs w:val="20"/>
        </w:rPr>
      </w:pPr>
      <w:r w:rsidRPr="00977939">
        <w:rPr>
          <w:rFonts w:ascii="Arial" w:hAnsi="Arial" w:cs="Arial"/>
          <w:b/>
          <w:bCs/>
          <w:sz w:val="20"/>
          <w:szCs w:val="20"/>
        </w:rPr>
        <w:t>MENNEKES AMEDIO Professional+ PnC – moderner geht es nicht</w:t>
      </w:r>
    </w:p>
    <w:p w:rsidR="00977939" w:rsidRPr="00977939" w:rsidRDefault="00977939" w:rsidP="00977939">
      <w:pPr>
        <w:pStyle w:val="TextA"/>
        <w:spacing w:line="408" w:lineRule="auto"/>
        <w:rPr>
          <w:rFonts w:ascii="Arial" w:hAnsi="Arial" w:cs="Arial"/>
          <w:sz w:val="20"/>
          <w:szCs w:val="20"/>
        </w:rPr>
      </w:pPr>
      <w:r w:rsidRPr="00977939">
        <w:rPr>
          <w:rFonts w:ascii="Arial" w:hAnsi="Arial" w:cs="Arial"/>
          <w:sz w:val="20"/>
          <w:szCs w:val="20"/>
        </w:rPr>
        <w:t xml:space="preserve">Mit der Ladesäule </w:t>
      </w:r>
      <w:r w:rsidRPr="00977939">
        <w:rPr>
          <w:rFonts w:ascii="Arial" w:hAnsi="Arial" w:cs="Arial"/>
          <w:sz w:val="20"/>
          <w:szCs w:val="20"/>
          <w:lang w:val="pt-PT"/>
        </w:rPr>
        <w:t xml:space="preserve">AMEDIO Professional+ PnC </w:t>
      </w:r>
      <w:r w:rsidRPr="00977939">
        <w:rPr>
          <w:rFonts w:ascii="Arial" w:hAnsi="Arial" w:cs="Arial"/>
          <w:sz w:val="20"/>
          <w:szCs w:val="20"/>
        </w:rPr>
        <w:t>bietet MENNEKES darüber hinaus das Ladesystem in der maximal zukunftssicheren Konfiguration. PnC steht für „Plug &amp; Charge“, eine Technologie</w:t>
      </w:r>
      <w:r>
        <w:rPr>
          <w:rFonts w:ascii="Arial" w:hAnsi="Arial" w:cs="Arial"/>
          <w:sz w:val="20"/>
          <w:szCs w:val="20"/>
        </w:rPr>
        <w:t>,</w:t>
      </w:r>
      <w:r w:rsidRPr="00977939">
        <w:rPr>
          <w:rFonts w:ascii="Arial" w:hAnsi="Arial" w:cs="Arial"/>
          <w:sz w:val="20"/>
          <w:szCs w:val="20"/>
        </w:rPr>
        <w:t xml:space="preserve"> die Nutzern von Elektrofahrzeugen den komfortablen Zugang zum Fahrstrom ohne Ladekarte oder App ermöglicht. </w:t>
      </w:r>
    </w:p>
    <w:p w:rsidR="00977939" w:rsidRPr="00977939" w:rsidRDefault="00977939" w:rsidP="00977939">
      <w:pPr>
        <w:pStyle w:val="TextA"/>
        <w:spacing w:line="408" w:lineRule="auto"/>
        <w:rPr>
          <w:rFonts w:ascii="Arial" w:hAnsi="Arial" w:cs="Arial"/>
          <w:sz w:val="20"/>
          <w:szCs w:val="20"/>
        </w:rPr>
      </w:pPr>
      <w:r w:rsidRPr="00977939">
        <w:rPr>
          <w:rFonts w:ascii="Arial" w:hAnsi="Arial" w:cs="Arial"/>
          <w:sz w:val="20"/>
          <w:szCs w:val="20"/>
        </w:rPr>
        <w:t>Die „Plug &amp; Charge“ Funktion bietet beim Ladevorgang einen enormen Zugewinn an Komfort und Alltagstauglichkeit, weil der Autorisierungsvorgang automatisiert wird, d. h. das Fahrzeug wird beim Anstecken des Ladekabels erkannt und autorisiert sich selbst. So kann direkt und einfach geladen werden – Voraussetzung ist dabei, dass die Funktion vom Fahrzeug und vom Backend-System des Ladeinfrastrukturbetreibers unterstützt wird. Zukünftig werden immer mehr Fahrzeuge und Software-Backends mit dieser PnC-Funktionalität ausgestattet sein, so dass die Erwartungen der Kunden und Mitarbeiter sich entsprechend anpassen werden, wodurch die Nachfrage nach dieser einfachen Ladeoption steigen wird.</w:t>
      </w:r>
    </w:p>
    <w:p w:rsidR="00977939" w:rsidRPr="00977939" w:rsidRDefault="00977939" w:rsidP="00977939">
      <w:pPr>
        <w:pStyle w:val="TextA"/>
        <w:spacing w:line="408" w:lineRule="auto"/>
        <w:rPr>
          <w:rFonts w:ascii="Arial" w:hAnsi="Arial" w:cs="Arial"/>
          <w:sz w:val="20"/>
          <w:szCs w:val="20"/>
        </w:rPr>
      </w:pPr>
    </w:p>
    <w:p w:rsidR="00C70ECD" w:rsidRPr="00977939" w:rsidRDefault="00C70ECD" w:rsidP="00C627BC">
      <w:pPr>
        <w:spacing w:after="0" w:line="288" w:lineRule="auto"/>
        <w:jc w:val="both"/>
        <w:rPr>
          <w:rFonts w:ascii="Arial" w:eastAsia="Calibri" w:hAnsi="Arial" w:cs="Arial"/>
          <w:sz w:val="20"/>
          <w:szCs w:val="20"/>
          <w:lang w:val="de-DE"/>
        </w:rPr>
      </w:pPr>
      <w:r w:rsidRPr="00977939">
        <w:rPr>
          <w:rFonts w:ascii="Arial" w:eastAsia="Calibri" w:hAnsi="Arial" w:cs="Arial"/>
          <w:sz w:val="20"/>
          <w:szCs w:val="20"/>
          <w:lang w:val="de-DE"/>
        </w:rPr>
        <w:t xml:space="preserve">Weitere Informationen erhalten Sie unter </w:t>
      </w:r>
      <w:hyperlink r:id="rId7" w:history="1">
        <w:r w:rsidRPr="00977939">
          <w:rPr>
            <w:rFonts w:ascii="Arial" w:eastAsia="Calibri" w:hAnsi="Arial" w:cs="Arial"/>
            <w:color w:val="0000FF"/>
            <w:sz w:val="20"/>
            <w:szCs w:val="20"/>
            <w:u w:val="single"/>
            <w:lang w:val="de-DE"/>
          </w:rPr>
          <w:t>www.siblik.com</w:t>
        </w:r>
      </w:hyperlink>
    </w:p>
    <w:p w:rsidR="005F5310" w:rsidRDefault="005F5310">
      <w:pPr>
        <w:rPr>
          <w:rFonts w:ascii="Arial" w:eastAsia="Times New Roman" w:hAnsi="Arial" w:cs="Arial"/>
          <w:b/>
          <w:bCs/>
          <w:szCs w:val="24"/>
          <w:lang w:val="de-DE" w:eastAsia="de-DE"/>
        </w:rPr>
      </w:pPr>
    </w:p>
    <w:p w:rsidR="00C70ECD" w:rsidRDefault="00C70ECD" w:rsidP="00C627BC">
      <w:pPr>
        <w:spacing w:line="288" w:lineRule="auto"/>
        <w:rPr>
          <w:rFonts w:ascii="Arial" w:eastAsia="Times New Roman" w:hAnsi="Arial" w:cs="Arial"/>
          <w:b/>
          <w:bCs/>
          <w:szCs w:val="24"/>
          <w:lang w:val="de-DE" w:eastAsia="de-DE"/>
        </w:rPr>
      </w:pPr>
      <w:r w:rsidRPr="00C627BC">
        <w:rPr>
          <w:rFonts w:ascii="Arial" w:eastAsia="Times New Roman" w:hAnsi="Arial" w:cs="Arial"/>
          <w:b/>
          <w:bCs/>
          <w:szCs w:val="24"/>
          <w:lang w:val="de-DE" w:eastAsia="de-DE"/>
        </w:rPr>
        <w:t>Bild</w:t>
      </w:r>
      <w:r w:rsidR="00977939">
        <w:rPr>
          <w:rFonts w:ascii="Arial" w:eastAsia="Times New Roman" w:hAnsi="Arial" w:cs="Arial"/>
          <w:b/>
          <w:bCs/>
          <w:szCs w:val="24"/>
          <w:lang w:val="de-DE" w:eastAsia="de-DE"/>
        </w:rPr>
        <w:t>er</w:t>
      </w:r>
    </w:p>
    <w:p w:rsidR="006D1A94" w:rsidRDefault="0026455A" w:rsidP="00C627BC">
      <w:pPr>
        <w:spacing w:line="288" w:lineRule="auto"/>
        <w:rPr>
          <w:rFonts w:ascii="Arial" w:eastAsia="Times New Roman" w:hAnsi="Arial" w:cs="Arial"/>
          <w:b/>
          <w:bCs/>
          <w:szCs w:val="24"/>
          <w:lang w:val="de-DE" w:eastAsia="de-DE"/>
        </w:rPr>
      </w:pPr>
      <w:bookmarkStart w:id="0" w:name="_GoBack"/>
      <w:bookmarkEnd w:id="0"/>
      <w:r>
        <w:rPr>
          <w:rFonts w:ascii="Arial" w:eastAsia="Times New Roman" w:hAnsi="Arial" w:cs="Arial"/>
          <w:b/>
          <w:bCs/>
          <w:noProof/>
          <w:szCs w:val="24"/>
          <w:lang w:eastAsia="de-AT"/>
        </w:rPr>
        <w:drawing>
          <wp:inline distT="0" distB="0" distL="0" distR="0">
            <wp:extent cx="1992630" cy="1992630"/>
            <wp:effectExtent l="0" t="0" r="0" b="7620"/>
            <wp:docPr id="3" name="Bild 3" descr="MENNEKES_Amedi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NEKES_Amedi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630" cy="1992630"/>
                    </a:xfrm>
                    <a:prstGeom prst="rect">
                      <a:avLst/>
                    </a:prstGeom>
                    <a:noFill/>
                    <a:ln>
                      <a:noFill/>
                    </a:ln>
                  </pic:spPr>
                </pic:pic>
              </a:graphicData>
            </a:graphic>
          </wp:inline>
        </w:drawing>
      </w:r>
    </w:p>
    <w:p w:rsidR="006D1A94" w:rsidRDefault="006D1A94" w:rsidP="006B1A88">
      <w:pPr>
        <w:spacing w:line="288" w:lineRule="auto"/>
        <w:rPr>
          <w:rFonts w:ascii="Arial" w:hAnsi="Arial" w:cs="Arial"/>
          <w:lang w:val="de-DE"/>
        </w:rPr>
      </w:pPr>
      <w:r w:rsidRPr="00C627BC">
        <w:rPr>
          <w:rFonts w:ascii="Arial" w:hAnsi="Arial" w:cs="Arial"/>
          <w:lang w:val="de-DE"/>
        </w:rPr>
        <w:t>[</w:t>
      </w:r>
      <w:r w:rsidR="00977939">
        <w:rPr>
          <w:rFonts w:ascii="Arial" w:hAnsi="Arial" w:cs="Arial"/>
          <w:lang w:val="de-DE"/>
        </w:rPr>
        <w:t>MENNEKES_Amedio_1</w:t>
      </w:r>
      <w:r w:rsidRPr="00C627BC">
        <w:rPr>
          <w:rFonts w:ascii="Arial" w:hAnsi="Arial" w:cs="Arial"/>
          <w:lang w:val="de-DE"/>
        </w:rPr>
        <w:t>]</w:t>
      </w:r>
    </w:p>
    <w:p w:rsidR="00977939" w:rsidRDefault="0026455A" w:rsidP="006B1A88">
      <w:pPr>
        <w:spacing w:line="288" w:lineRule="auto"/>
        <w:rPr>
          <w:rFonts w:ascii="Arial" w:hAnsi="Arial" w:cs="Arial"/>
          <w:lang w:val="de-DE"/>
        </w:rPr>
      </w:pPr>
      <w:r>
        <w:rPr>
          <w:rFonts w:ascii="Arial" w:hAnsi="Arial" w:cs="Arial"/>
          <w:noProof/>
          <w:lang w:eastAsia="de-AT"/>
        </w:rPr>
        <w:lastRenderedPageBreak/>
        <w:drawing>
          <wp:inline distT="0" distB="0" distL="0" distR="0">
            <wp:extent cx="1774190" cy="2490470"/>
            <wp:effectExtent l="0" t="0" r="0" b="5080"/>
            <wp:docPr id="5" name="Bild 5" descr="MENNEKES_Final_Amedio_Perspektive_von_link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NEKES_Final_Amedio_Perspektive_von_links_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4190" cy="2490470"/>
                    </a:xfrm>
                    <a:prstGeom prst="rect">
                      <a:avLst/>
                    </a:prstGeom>
                    <a:noFill/>
                    <a:ln>
                      <a:noFill/>
                    </a:ln>
                  </pic:spPr>
                </pic:pic>
              </a:graphicData>
            </a:graphic>
          </wp:inline>
        </w:drawing>
      </w:r>
    </w:p>
    <w:p w:rsidR="00977939" w:rsidRDefault="00977939" w:rsidP="00977939">
      <w:pPr>
        <w:spacing w:line="288" w:lineRule="auto"/>
        <w:rPr>
          <w:rFonts w:ascii="Arial" w:hAnsi="Arial" w:cs="Arial"/>
          <w:lang w:val="de-DE"/>
        </w:rPr>
      </w:pPr>
      <w:r w:rsidRPr="00C627BC">
        <w:rPr>
          <w:rFonts w:ascii="Arial" w:hAnsi="Arial" w:cs="Arial"/>
          <w:lang w:val="de-DE"/>
        </w:rPr>
        <w:t>[</w:t>
      </w:r>
      <w:r w:rsidRPr="00977939">
        <w:rPr>
          <w:rFonts w:ascii="Arial" w:hAnsi="Arial" w:cs="Arial"/>
          <w:lang w:val="de-DE"/>
        </w:rPr>
        <w:t>MENNEKES_Final_Amedio_Perspektive_von_links_01</w:t>
      </w:r>
      <w:r w:rsidRPr="00C627BC">
        <w:rPr>
          <w:rFonts w:ascii="Arial" w:hAnsi="Arial" w:cs="Arial"/>
          <w:lang w:val="de-DE"/>
        </w:rPr>
        <w:t>]</w:t>
      </w:r>
    </w:p>
    <w:p w:rsidR="00977939" w:rsidRPr="00C627BC" w:rsidRDefault="00977939" w:rsidP="006B1A88">
      <w:pPr>
        <w:spacing w:line="288" w:lineRule="auto"/>
        <w:rPr>
          <w:rFonts w:ascii="Arial" w:hAnsi="Arial" w:cs="Arial"/>
          <w:lang w:val="de-DE"/>
        </w:rPr>
      </w:pPr>
    </w:p>
    <w:p w:rsidR="00A92F15" w:rsidRDefault="00A92F15" w:rsidP="006B1A88">
      <w:pPr>
        <w:spacing w:line="288" w:lineRule="auto"/>
        <w:rPr>
          <w:rFonts w:ascii="Arial" w:hAnsi="Arial" w:cs="Arial"/>
          <w:bCs/>
          <w:i/>
          <w:lang w:val="de-DE"/>
        </w:rPr>
      </w:pPr>
      <w:r>
        <w:rPr>
          <w:rFonts w:ascii="Arial" w:hAnsi="Arial" w:cs="Arial"/>
          <w:bCs/>
          <w:i/>
          <w:lang w:val="de-DE"/>
        </w:rPr>
        <w:t xml:space="preserve">Bild © </w:t>
      </w:r>
      <w:r w:rsidR="00977939" w:rsidRPr="00977939">
        <w:rPr>
          <w:rFonts w:ascii="Arial" w:hAnsi="Arial" w:cs="Arial"/>
          <w:bCs/>
          <w:i/>
          <w:lang w:val="de-DE"/>
        </w:rPr>
        <w:t>MENNEKES Elektrotechnik GmbH &amp; Co. KG</w:t>
      </w:r>
    </w:p>
    <w:p w:rsidR="006B1A88" w:rsidRDefault="006B1A88" w:rsidP="006B1A88">
      <w:pPr>
        <w:pBdr>
          <w:bottom w:val="single" w:sz="4" w:space="1" w:color="auto"/>
        </w:pBdr>
        <w:rPr>
          <w:rFonts w:ascii="Arial" w:eastAsia="Times New Roman" w:hAnsi="Arial" w:cs="Arial"/>
          <w:b/>
          <w:bCs/>
          <w:sz w:val="20"/>
          <w:szCs w:val="20"/>
          <w:lang w:eastAsia="de-DE"/>
        </w:rPr>
      </w:pPr>
    </w:p>
    <w:p w:rsidR="00150CE3" w:rsidRPr="00C627BC" w:rsidRDefault="00150CE3" w:rsidP="006B1A88">
      <w:pPr>
        <w:rPr>
          <w:rFonts w:ascii="Arial" w:eastAsia="Times New Roman" w:hAnsi="Arial" w:cs="Arial"/>
          <w:b/>
          <w:bCs/>
          <w:sz w:val="20"/>
          <w:szCs w:val="20"/>
          <w:lang w:eastAsia="de-DE"/>
        </w:rPr>
      </w:pPr>
      <w:r w:rsidRPr="00C627BC">
        <w:rPr>
          <w:rFonts w:ascii="Arial" w:eastAsia="Times New Roman" w:hAnsi="Arial" w:cs="Arial"/>
          <w:b/>
          <w:bCs/>
          <w:sz w:val="20"/>
          <w:szCs w:val="20"/>
          <w:lang w:eastAsia="de-DE"/>
        </w:rPr>
        <w:t>SIBLIK. Wir schalten schneller</w:t>
      </w:r>
      <w:r w:rsidR="007C6418" w:rsidRPr="00C627BC">
        <w:rPr>
          <w:rFonts w:ascii="Arial" w:eastAsia="Times New Roman" w:hAnsi="Arial" w:cs="Arial"/>
          <w:b/>
          <w:bCs/>
          <w:sz w:val="20"/>
          <w:szCs w:val="20"/>
          <w:lang w:eastAsia="de-DE"/>
        </w:rPr>
        <w:t>.</w:t>
      </w:r>
    </w:p>
    <w:p w:rsidR="00150CE3" w:rsidRPr="00C627BC" w:rsidRDefault="00150CE3" w:rsidP="00C627BC">
      <w:pPr>
        <w:spacing w:after="0" w:line="288" w:lineRule="auto"/>
        <w:rPr>
          <w:rFonts w:ascii="Arial" w:eastAsia="Times New Roman" w:hAnsi="Arial" w:cs="Arial"/>
          <w:sz w:val="20"/>
          <w:szCs w:val="20"/>
          <w:lang w:eastAsia="de-DE"/>
        </w:rPr>
      </w:pPr>
      <w:r w:rsidRPr="00C627BC">
        <w:rPr>
          <w:rFonts w:ascii="Arial" w:hAnsi="Arial" w:cs="Arial"/>
          <w:sz w:val="20"/>
          <w:szCs w:val="20"/>
        </w:rPr>
        <w:t xml:space="preserve">Siblik Elektrik ist ein österreichweit tätiges Unternehmen mit Hauptsitz in Wien. Namhafte in- und ausländische Hersteller aus der Elektro- und Haustechnik-Branche sind eng mit Siblik verbunden und werden exklusiv in Österreich vertreten. Das traditionsreiche Unternehmen wurde 1938 gegründet und blickt somit auf </w:t>
      </w:r>
      <w:r w:rsidR="007026F7" w:rsidRPr="00C627BC">
        <w:rPr>
          <w:rFonts w:ascii="Arial" w:hAnsi="Arial" w:cs="Arial"/>
          <w:sz w:val="20"/>
          <w:szCs w:val="20"/>
        </w:rPr>
        <w:t xml:space="preserve">fast </w:t>
      </w:r>
      <w:r w:rsidR="00977939">
        <w:rPr>
          <w:rFonts w:ascii="Arial" w:hAnsi="Arial" w:cs="Arial"/>
          <w:sz w:val="20"/>
          <w:szCs w:val="20"/>
        </w:rPr>
        <w:t xml:space="preserve">über </w:t>
      </w:r>
      <w:r w:rsidR="007026F7" w:rsidRPr="00C627BC">
        <w:rPr>
          <w:rFonts w:ascii="Arial" w:hAnsi="Arial" w:cs="Arial"/>
          <w:sz w:val="20"/>
          <w:szCs w:val="20"/>
        </w:rPr>
        <w:t>80</w:t>
      </w:r>
      <w:r w:rsidRPr="00C627BC">
        <w:rPr>
          <w:rFonts w:ascii="Arial" w:hAnsi="Arial" w:cs="Arial"/>
          <w:sz w:val="20"/>
          <w:szCs w:val="20"/>
        </w:rPr>
        <w:t xml:space="preserve"> Jahre Handelsvertretung zurück. Heute bes</w:t>
      </w:r>
      <w:r w:rsidR="00977939">
        <w:rPr>
          <w:rFonts w:ascii="Arial" w:hAnsi="Arial" w:cs="Arial"/>
          <w:sz w:val="20"/>
          <w:szCs w:val="20"/>
        </w:rPr>
        <w:t>chäftigt Siblik Elektrik über 13</w:t>
      </w:r>
      <w:r w:rsidRPr="00C627BC">
        <w:rPr>
          <w:rFonts w:ascii="Arial" w:hAnsi="Arial" w:cs="Arial"/>
          <w:sz w:val="20"/>
          <w:szCs w:val="20"/>
        </w:rPr>
        <w:t>0 Mitarbeiter</w:t>
      </w:r>
      <w:r w:rsidR="007026F7" w:rsidRPr="00C627BC">
        <w:rPr>
          <w:rFonts w:ascii="Arial" w:hAnsi="Arial" w:cs="Arial"/>
          <w:sz w:val="20"/>
          <w:szCs w:val="20"/>
        </w:rPr>
        <w:t>Innen</w:t>
      </w:r>
      <w:r w:rsidRPr="00C627BC">
        <w:rPr>
          <w:rFonts w:ascii="Arial" w:hAnsi="Arial" w:cs="Arial"/>
          <w:sz w:val="20"/>
          <w:szCs w:val="20"/>
        </w:rPr>
        <w:t xml:space="preserve"> an 4 Standorten, in Wien, Graz, Vöcklabruck und Innsbruck.</w:t>
      </w:r>
    </w:p>
    <w:p w:rsidR="00150CE3" w:rsidRPr="00C627BC" w:rsidRDefault="00150CE3" w:rsidP="00C627BC">
      <w:pPr>
        <w:spacing w:after="0" w:line="288" w:lineRule="auto"/>
        <w:rPr>
          <w:rFonts w:ascii="Arial" w:eastAsia="Times New Roman" w:hAnsi="Arial" w:cs="Arial"/>
          <w:sz w:val="20"/>
          <w:szCs w:val="20"/>
          <w:lang w:eastAsia="de-DE"/>
        </w:rPr>
      </w:pPr>
    </w:p>
    <w:p w:rsidR="00150CE3" w:rsidRPr="00C627BC" w:rsidRDefault="00150CE3" w:rsidP="00C627BC">
      <w:pPr>
        <w:spacing w:after="0" w:line="288" w:lineRule="auto"/>
        <w:rPr>
          <w:rFonts w:ascii="Arial" w:eastAsia="Times New Roman" w:hAnsi="Arial" w:cs="Arial"/>
          <w:sz w:val="20"/>
          <w:szCs w:val="20"/>
          <w:lang w:eastAsia="de-DE"/>
        </w:rPr>
      </w:pPr>
      <w:r w:rsidRPr="00C627BC">
        <w:rPr>
          <w:rFonts w:ascii="Arial" w:eastAsia="Times New Roman" w:hAnsi="Arial" w:cs="Arial"/>
          <w:sz w:val="20"/>
          <w:szCs w:val="20"/>
          <w:lang w:eastAsia="de-DE"/>
        </w:rPr>
        <w:t xml:space="preserve">Mehr Informationen unter </w:t>
      </w:r>
      <w:hyperlink r:id="rId10" w:history="1">
        <w:r w:rsidRPr="00C627BC">
          <w:rPr>
            <w:rStyle w:val="Hyperlink"/>
            <w:rFonts w:ascii="Arial" w:eastAsia="Times New Roman" w:hAnsi="Arial" w:cs="Arial"/>
            <w:sz w:val="20"/>
            <w:szCs w:val="20"/>
            <w:lang w:eastAsia="de-DE"/>
          </w:rPr>
          <w:t>www.siblik.com</w:t>
        </w:r>
      </w:hyperlink>
      <w:r w:rsidRPr="00C627BC">
        <w:rPr>
          <w:rFonts w:ascii="Arial" w:eastAsia="Times New Roman" w:hAnsi="Arial" w:cs="Arial"/>
          <w:sz w:val="20"/>
          <w:szCs w:val="20"/>
          <w:lang w:eastAsia="de-DE"/>
        </w:rPr>
        <w:t xml:space="preserve"> </w:t>
      </w:r>
    </w:p>
    <w:p w:rsidR="00150CE3" w:rsidRPr="00C627BC" w:rsidRDefault="00150CE3" w:rsidP="00C627BC">
      <w:pPr>
        <w:spacing w:after="0" w:line="288" w:lineRule="auto"/>
        <w:rPr>
          <w:rFonts w:ascii="Arial" w:eastAsia="Times New Roman" w:hAnsi="Arial" w:cs="Arial"/>
          <w:szCs w:val="24"/>
          <w:lang w:eastAsia="de-DE"/>
        </w:rPr>
      </w:pPr>
    </w:p>
    <w:p w:rsidR="00150CE3" w:rsidRPr="00C627BC" w:rsidRDefault="00150CE3" w:rsidP="00C627BC">
      <w:pPr>
        <w:spacing w:after="0" w:line="288" w:lineRule="auto"/>
        <w:rPr>
          <w:rFonts w:ascii="Arial" w:eastAsia="Times New Roman" w:hAnsi="Arial" w:cs="Arial"/>
          <w:b/>
          <w:bCs/>
          <w:sz w:val="20"/>
          <w:szCs w:val="20"/>
          <w:lang w:eastAsia="de-DE"/>
        </w:rPr>
      </w:pPr>
      <w:r w:rsidRPr="00C627BC">
        <w:rPr>
          <w:rFonts w:ascii="Arial" w:eastAsia="Times New Roman" w:hAnsi="Arial" w:cs="Arial"/>
          <w:b/>
          <w:bCs/>
          <w:sz w:val="20"/>
          <w:szCs w:val="20"/>
          <w:lang w:eastAsia="de-DE"/>
        </w:rPr>
        <w:t>Pressekontakt</w:t>
      </w:r>
    </w:p>
    <w:tbl>
      <w:tblPr>
        <w:tblW w:w="0" w:type="auto"/>
        <w:tblLook w:val="01E0" w:firstRow="1" w:lastRow="1" w:firstColumn="1" w:lastColumn="1" w:noHBand="0" w:noVBand="0"/>
      </w:tblPr>
      <w:tblGrid>
        <w:gridCol w:w="3898"/>
        <w:gridCol w:w="3830"/>
      </w:tblGrid>
      <w:tr w:rsidR="00150CE3" w:rsidRPr="00C627BC" w:rsidTr="00150CE3">
        <w:tc>
          <w:tcPr>
            <w:tcW w:w="4038" w:type="dxa"/>
            <w:hideMark/>
          </w:tcPr>
          <w:p w:rsidR="00150CE3" w:rsidRPr="00C627BC" w:rsidRDefault="00150CE3" w:rsidP="00C627BC">
            <w:pPr>
              <w:spacing w:after="0" w:line="288" w:lineRule="auto"/>
              <w:rPr>
                <w:rFonts w:ascii="Arial" w:eastAsia="Times New Roman" w:hAnsi="Arial" w:cs="Arial"/>
                <w:sz w:val="20"/>
                <w:szCs w:val="20"/>
                <w:lang w:val="fr-FR" w:eastAsia="de-DE"/>
              </w:rPr>
            </w:pPr>
            <w:r w:rsidRPr="00C627BC">
              <w:rPr>
                <w:rFonts w:ascii="Arial" w:eastAsia="Times New Roman" w:hAnsi="Arial" w:cs="Arial"/>
                <w:sz w:val="20"/>
                <w:szCs w:val="20"/>
                <w:lang w:val="fr-FR" w:eastAsia="de-DE"/>
              </w:rPr>
              <w:t xml:space="preserve">Siblik Elektrik </w:t>
            </w:r>
            <w:r w:rsidR="00F733D9" w:rsidRPr="00C627BC">
              <w:rPr>
                <w:rFonts w:ascii="Arial" w:eastAsia="Times New Roman" w:hAnsi="Arial" w:cs="Arial"/>
                <w:sz w:val="20"/>
                <w:szCs w:val="20"/>
                <w:lang w:val="fr-FR" w:eastAsia="de-DE"/>
              </w:rPr>
              <w:t>GmbH</w:t>
            </w:r>
            <w:r w:rsidRPr="00C627BC">
              <w:rPr>
                <w:rFonts w:ascii="Arial" w:eastAsia="Times New Roman" w:hAnsi="Arial" w:cs="Arial"/>
                <w:sz w:val="20"/>
                <w:szCs w:val="20"/>
                <w:lang w:val="fr-FR" w:eastAsia="de-DE"/>
              </w:rPr>
              <w:t xml:space="preserve"> &amp; Co. KG</w:t>
            </w:r>
          </w:p>
          <w:p w:rsidR="00150CE3" w:rsidRPr="00C627BC" w:rsidRDefault="005F5310" w:rsidP="00C627BC">
            <w:pPr>
              <w:spacing w:after="0" w:line="288" w:lineRule="auto"/>
              <w:rPr>
                <w:rFonts w:ascii="Arial" w:eastAsia="Times New Roman" w:hAnsi="Arial" w:cs="Arial"/>
                <w:sz w:val="20"/>
                <w:szCs w:val="20"/>
                <w:lang w:val="fr-FR" w:eastAsia="de-DE"/>
              </w:rPr>
            </w:pPr>
            <w:r>
              <w:rPr>
                <w:rFonts w:ascii="Arial" w:eastAsia="Times New Roman" w:hAnsi="Arial" w:cs="Arial"/>
                <w:sz w:val="20"/>
                <w:szCs w:val="20"/>
                <w:lang w:val="fr-FR" w:eastAsia="de-DE"/>
              </w:rPr>
              <w:t>+43 1 68006 136</w:t>
            </w:r>
          </w:p>
          <w:p w:rsidR="00150CE3" w:rsidRPr="00C627BC" w:rsidRDefault="00150CE3" w:rsidP="00C627BC">
            <w:pPr>
              <w:spacing w:after="0" w:line="288" w:lineRule="auto"/>
              <w:rPr>
                <w:rFonts w:ascii="Arial" w:eastAsia="Times New Roman" w:hAnsi="Arial" w:cs="Arial"/>
                <w:sz w:val="20"/>
                <w:szCs w:val="20"/>
                <w:lang w:val="fr-FR" w:eastAsia="de-DE"/>
              </w:rPr>
            </w:pPr>
            <w:r w:rsidRPr="00C627BC">
              <w:rPr>
                <w:rFonts w:ascii="Arial" w:eastAsia="Times New Roman" w:hAnsi="Arial" w:cs="Arial"/>
                <w:sz w:val="20"/>
                <w:szCs w:val="20"/>
                <w:lang w:val="fr-FR" w:eastAsia="de-DE"/>
              </w:rPr>
              <w:t>pr@siblik.com</w:t>
            </w:r>
          </w:p>
        </w:tc>
        <w:tc>
          <w:tcPr>
            <w:tcW w:w="4039" w:type="dxa"/>
          </w:tcPr>
          <w:p w:rsidR="00150CE3" w:rsidRPr="00C627BC" w:rsidRDefault="00150CE3" w:rsidP="00C627BC">
            <w:pPr>
              <w:spacing w:after="0" w:line="288" w:lineRule="auto"/>
              <w:rPr>
                <w:rFonts w:ascii="Arial" w:eastAsia="Times New Roman" w:hAnsi="Arial" w:cs="Arial"/>
                <w:sz w:val="20"/>
                <w:szCs w:val="20"/>
                <w:lang w:val="fr-FR" w:eastAsia="de-DE"/>
              </w:rPr>
            </w:pPr>
          </w:p>
        </w:tc>
      </w:tr>
    </w:tbl>
    <w:p w:rsidR="000C347C" w:rsidRPr="00C627BC" w:rsidRDefault="000C347C" w:rsidP="00977939">
      <w:pPr>
        <w:spacing w:line="288" w:lineRule="auto"/>
        <w:rPr>
          <w:rFonts w:ascii="Arial" w:hAnsi="Arial" w:cs="Arial"/>
        </w:rPr>
      </w:pPr>
    </w:p>
    <w:sectPr w:rsidR="000C347C" w:rsidRPr="00C627BC" w:rsidSect="001F5D12">
      <w:headerReference w:type="default" r:id="rId11"/>
      <w:footerReference w:type="default" r:id="rId12"/>
      <w:pgSz w:w="11906" w:h="16838"/>
      <w:pgMar w:top="2094" w:right="3401" w:bottom="212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39" w:rsidRDefault="00977939" w:rsidP="00413261">
      <w:pPr>
        <w:spacing w:after="0" w:line="240" w:lineRule="auto"/>
      </w:pPr>
      <w:r>
        <w:separator/>
      </w:r>
    </w:p>
  </w:endnote>
  <w:endnote w:type="continuationSeparator" w:id="0">
    <w:p w:rsidR="00977939" w:rsidRDefault="00977939" w:rsidP="0041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39" w:rsidRDefault="00977939" w:rsidP="00E63380">
    <w:pPr>
      <w:jc w:val="right"/>
    </w:pPr>
    <w:r>
      <w:t>www.siblik.com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39" w:rsidRDefault="00977939" w:rsidP="00413261">
      <w:pPr>
        <w:spacing w:after="0" w:line="240" w:lineRule="auto"/>
      </w:pPr>
      <w:r>
        <w:separator/>
      </w:r>
    </w:p>
  </w:footnote>
  <w:footnote w:type="continuationSeparator" w:id="0">
    <w:p w:rsidR="00977939" w:rsidRDefault="00977939" w:rsidP="00413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39" w:rsidRDefault="00977939" w:rsidP="00413261">
    <w:pPr>
      <w:pStyle w:val="Kopfzeile"/>
      <w:jc w:val="right"/>
    </w:pPr>
    <w:r>
      <w:rPr>
        <w:noProof/>
        <w:lang w:eastAsia="de-AT"/>
      </w:rPr>
      <w:drawing>
        <wp:inline distT="0" distB="0" distL="0" distR="0" wp14:anchorId="0915494F" wp14:editId="10AA158C">
          <wp:extent cx="673994" cy="571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lik Logo 4C_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446" cy="57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93"/>
    <w:rsid w:val="00010B72"/>
    <w:rsid w:val="00011E56"/>
    <w:rsid w:val="000217C0"/>
    <w:rsid w:val="00061278"/>
    <w:rsid w:val="000C347C"/>
    <w:rsid w:val="000C465A"/>
    <w:rsid w:val="000C68FC"/>
    <w:rsid w:val="000D6481"/>
    <w:rsid w:val="000F0FE4"/>
    <w:rsid w:val="0011003A"/>
    <w:rsid w:val="00150CE3"/>
    <w:rsid w:val="00152A8B"/>
    <w:rsid w:val="001B03B6"/>
    <w:rsid w:val="001B51C7"/>
    <w:rsid w:val="001B75DE"/>
    <w:rsid w:val="001D24C8"/>
    <w:rsid w:val="001F5D12"/>
    <w:rsid w:val="00225650"/>
    <w:rsid w:val="002328D9"/>
    <w:rsid w:val="002479F8"/>
    <w:rsid w:val="0026455A"/>
    <w:rsid w:val="002679AE"/>
    <w:rsid w:val="002E63E0"/>
    <w:rsid w:val="00317210"/>
    <w:rsid w:val="003671F1"/>
    <w:rsid w:val="003A3427"/>
    <w:rsid w:val="003D27A2"/>
    <w:rsid w:val="00413261"/>
    <w:rsid w:val="00425FD4"/>
    <w:rsid w:val="0043799C"/>
    <w:rsid w:val="004E341F"/>
    <w:rsid w:val="005502FF"/>
    <w:rsid w:val="00552AA6"/>
    <w:rsid w:val="00577C06"/>
    <w:rsid w:val="005928F1"/>
    <w:rsid w:val="005A3EF5"/>
    <w:rsid w:val="005A63D6"/>
    <w:rsid w:val="005B1A10"/>
    <w:rsid w:val="005F37D9"/>
    <w:rsid w:val="005F5310"/>
    <w:rsid w:val="00642726"/>
    <w:rsid w:val="00654F50"/>
    <w:rsid w:val="006B1A88"/>
    <w:rsid w:val="006D03EF"/>
    <w:rsid w:val="006D1A94"/>
    <w:rsid w:val="006E5D51"/>
    <w:rsid w:val="007026F7"/>
    <w:rsid w:val="00734216"/>
    <w:rsid w:val="00743B0A"/>
    <w:rsid w:val="00747F93"/>
    <w:rsid w:val="00757B67"/>
    <w:rsid w:val="0077155A"/>
    <w:rsid w:val="007B08E6"/>
    <w:rsid w:val="007C2EA8"/>
    <w:rsid w:val="007C6418"/>
    <w:rsid w:val="00800381"/>
    <w:rsid w:val="00812BE9"/>
    <w:rsid w:val="008334FF"/>
    <w:rsid w:val="00842057"/>
    <w:rsid w:val="00845637"/>
    <w:rsid w:val="008C54A8"/>
    <w:rsid w:val="008D3991"/>
    <w:rsid w:val="008D3EB3"/>
    <w:rsid w:val="009616AF"/>
    <w:rsid w:val="00977939"/>
    <w:rsid w:val="00985196"/>
    <w:rsid w:val="00993C7F"/>
    <w:rsid w:val="009B58BD"/>
    <w:rsid w:val="009B649F"/>
    <w:rsid w:val="009E4E7F"/>
    <w:rsid w:val="00A02617"/>
    <w:rsid w:val="00A0329F"/>
    <w:rsid w:val="00A07677"/>
    <w:rsid w:val="00A376E1"/>
    <w:rsid w:val="00A46E52"/>
    <w:rsid w:val="00A707EF"/>
    <w:rsid w:val="00A92F15"/>
    <w:rsid w:val="00AB5ABD"/>
    <w:rsid w:val="00B36F38"/>
    <w:rsid w:val="00B4162A"/>
    <w:rsid w:val="00B43A64"/>
    <w:rsid w:val="00B74C21"/>
    <w:rsid w:val="00B812E8"/>
    <w:rsid w:val="00BE2BC9"/>
    <w:rsid w:val="00C627BC"/>
    <w:rsid w:val="00C70ECD"/>
    <w:rsid w:val="00CA567B"/>
    <w:rsid w:val="00CC3ACA"/>
    <w:rsid w:val="00CF65F1"/>
    <w:rsid w:val="00D1004A"/>
    <w:rsid w:val="00D84874"/>
    <w:rsid w:val="00D936B4"/>
    <w:rsid w:val="00DB66D5"/>
    <w:rsid w:val="00DD1742"/>
    <w:rsid w:val="00DF087B"/>
    <w:rsid w:val="00E05B58"/>
    <w:rsid w:val="00E17BBF"/>
    <w:rsid w:val="00E31A71"/>
    <w:rsid w:val="00E51EAC"/>
    <w:rsid w:val="00E63380"/>
    <w:rsid w:val="00E85183"/>
    <w:rsid w:val="00E90571"/>
    <w:rsid w:val="00EB5A90"/>
    <w:rsid w:val="00EB6310"/>
    <w:rsid w:val="00EE17E6"/>
    <w:rsid w:val="00F733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BAFC"/>
  <w15:docId w15:val="{93EF59D8-2CBA-4586-AC1D-3F33D99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32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3261"/>
  </w:style>
  <w:style w:type="paragraph" w:styleId="Fuzeile">
    <w:name w:val="footer"/>
    <w:basedOn w:val="Standard"/>
    <w:link w:val="FuzeileZchn"/>
    <w:uiPriority w:val="99"/>
    <w:unhideWhenUsed/>
    <w:rsid w:val="004132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3261"/>
  </w:style>
  <w:style w:type="paragraph" w:styleId="Sprechblasentext">
    <w:name w:val="Balloon Text"/>
    <w:basedOn w:val="Standard"/>
    <w:link w:val="SprechblasentextZchn"/>
    <w:uiPriority w:val="99"/>
    <w:semiHidden/>
    <w:unhideWhenUsed/>
    <w:rsid w:val="004132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261"/>
    <w:rPr>
      <w:rFonts w:ascii="Tahoma" w:hAnsi="Tahoma" w:cs="Tahoma"/>
      <w:sz w:val="16"/>
      <w:szCs w:val="16"/>
    </w:rPr>
  </w:style>
  <w:style w:type="character" w:styleId="Hyperlink">
    <w:name w:val="Hyperlink"/>
    <w:semiHidden/>
    <w:unhideWhenUsed/>
    <w:rsid w:val="00150CE3"/>
    <w:rPr>
      <w:color w:val="0000FF"/>
      <w:u w:val="single"/>
    </w:rPr>
  </w:style>
  <w:style w:type="paragraph" w:styleId="KeinLeerraum">
    <w:name w:val="No Spacing"/>
    <w:uiPriority w:val="1"/>
    <w:qFormat/>
    <w:rsid w:val="00425FD4"/>
    <w:pPr>
      <w:spacing w:after="0" w:line="240" w:lineRule="auto"/>
    </w:pPr>
    <w:rPr>
      <w:rFonts w:ascii="Arial" w:hAnsi="Arial"/>
      <w:sz w:val="24"/>
      <w:lang w:val="en-GB"/>
    </w:rPr>
  </w:style>
  <w:style w:type="paragraph" w:styleId="StandardWeb">
    <w:name w:val="Normal (Web)"/>
    <w:basedOn w:val="Standard"/>
    <w:uiPriority w:val="99"/>
    <w:unhideWhenUsed/>
    <w:rsid w:val="00425FD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extA">
    <w:name w:val="Text A"/>
    <w:rsid w:val="0097793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de-DE"/>
    </w:rPr>
  </w:style>
  <w:style w:type="paragraph" w:styleId="Kommentartext">
    <w:name w:val="annotation text"/>
    <w:basedOn w:val="Standard"/>
    <w:link w:val="KommentartextZchn"/>
    <w:uiPriority w:val="99"/>
    <w:semiHidden/>
    <w:unhideWhenUsed/>
    <w:rsid w:val="009779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7939"/>
    <w:rPr>
      <w:sz w:val="20"/>
      <w:szCs w:val="20"/>
    </w:rPr>
  </w:style>
  <w:style w:type="paragraph" w:styleId="Kommentarthema">
    <w:name w:val="annotation subject"/>
    <w:basedOn w:val="Kommentartext"/>
    <w:next w:val="Kommentartext"/>
    <w:link w:val="KommentarthemaZchn"/>
    <w:uiPriority w:val="99"/>
    <w:semiHidden/>
    <w:unhideWhenUsed/>
    <w:rsid w:val="00977939"/>
    <w:pPr>
      <w:pBdr>
        <w:top w:val="nil"/>
        <w:left w:val="nil"/>
        <w:bottom w:val="nil"/>
        <w:right w:val="nil"/>
        <w:between w:val="nil"/>
        <w:bar w:val="nil"/>
      </w:pBdr>
      <w:spacing w:after="0"/>
    </w:pPr>
    <w:rPr>
      <w:rFonts w:ascii="Helvetica Neue" w:eastAsia="Helvetica Neue" w:hAnsi="Helvetica Neue" w:cs="Helvetica Neue"/>
      <w:b/>
      <w:bCs/>
      <w:color w:val="000000"/>
      <w:bdr w:val="nil"/>
      <w:lang w:val="de-DE" w:eastAsia="de-DE"/>
    </w:rPr>
  </w:style>
  <w:style w:type="character" w:customStyle="1" w:styleId="KommentarthemaZchn">
    <w:name w:val="Kommentarthema Zchn"/>
    <w:basedOn w:val="KommentartextZchn"/>
    <w:link w:val="Kommentarthema"/>
    <w:uiPriority w:val="99"/>
    <w:semiHidden/>
    <w:rsid w:val="00977939"/>
    <w:rPr>
      <w:rFonts w:ascii="Helvetica Neue" w:eastAsia="Helvetica Neue" w:hAnsi="Helvetica Neue" w:cs="Helvetica Neue"/>
      <w:b/>
      <w:bCs/>
      <w:color w:val="000000"/>
      <w:sz w:val="20"/>
      <w:szCs w:val="20"/>
      <w:bdr w:val="ni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35541">
      <w:bodyDiv w:val="1"/>
      <w:marLeft w:val="0"/>
      <w:marRight w:val="0"/>
      <w:marTop w:val="0"/>
      <w:marBottom w:val="0"/>
      <w:divBdr>
        <w:top w:val="none" w:sz="0" w:space="0" w:color="auto"/>
        <w:left w:val="none" w:sz="0" w:space="0" w:color="auto"/>
        <w:bottom w:val="none" w:sz="0" w:space="0" w:color="auto"/>
        <w:right w:val="none" w:sz="0" w:space="0" w:color="auto"/>
      </w:divBdr>
      <w:divsChild>
        <w:div w:id="951672482">
          <w:marLeft w:val="0"/>
          <w:marRight w:val="0"/>
          <w:marTop w:val="0"/>
          <w:marBottom w:val="0"/>
          <w:divBdr>
            <w:top w:val="none" w:sz="0" w:space="0" w:color="auto"/>
            <w:left w:val="none" w:sz="0" w:space="0" w:color="auto"/>
            <w:bottom w:val="none" w:sz="0" w:space="0" w:color="auto"/>
            <w:right w:val="none" w:sz="0" w:space="0" w:color="auto"/>
          </w:divBdr>
          <w:divsChild>
            <w:div w:id="1620071068">
              <w:marLeft w:val="0"/>
              <w:marRight w:val="0"/>
              <w:marTop w:val="0"/>
              <w:marBottom w:val="0"/>
              <w:divBdr>
                <w:top w:val="none" w:sz="0" w:space="0" w:color="auto"/>
                <w:left w:val="none" w:sz="0" w:space="0" w:color="auto"/>
                <w:bottom w:val="none" w:sz="0" w:space="0" w:color="auto"/>
                <w:right w:val="none" w:sz="0" w:space="0" w:color="auto"/>
              </w:divBdr>
              <w:divsChild>
                <w:div w:id="1579288722">
                  <w:marLeft w:val="0"/>
                  <w:marRight w:val="0"/>
                  <w:marTop w:val="0"/>
                  <w:marBottom w:val="0"/>
                  <w:divBdr>
                    <w:top w:val="none" w:sz="0" w:space="0" w:color="auto"/>
                    <w:left w:val="none" w:sz="0" w:space="0" w:color="auto"/>
                    <w:bottom w:val="none" w:sz="0" w:space="0" w:color="auto"/>
                    <w:right w:val="none" w:sz="0" w:space="0" w:color="auto"/>
                  </w:divBdr>
                  <w:divsChild>
                    <w:div w:id="1468818895">
                      <w:marLeft w:val="0"/>
                      <w:marRight w:val="0"/>
                      <w:marTop w:val="0"/>
                      <w:marBottom w:val="0"/>
                      <w:divBdr>
                        <w:top w:val="none" w:sz="0" w:space="0" w:color="auto"/>
                        <w:left w:val="none" w:sz="0" w:space="0" w:color="auto"/>
                        <w:bottom w:val="none" w:sz="0" w:space="0" w:color="auto"/>
                        <w:right w:val="none" w:sz="0" w:space="0" w:color="auto"/>
                      </w:divBdr>
                      <w:divsChild>
                        <w:div w:id="1827550641">
                          <w:marLeft w:val="0"/>
                          <w:marRight w:val="0"/>
                          <w:marTop w:val="45"/>
                          <w:marBottom w:val="0"/>
                          <w:divBdr>
                            <w:top w:val="none" w:sz="0" w:space="0" w:color="auto"/>
                            <w:left w:val="none" w:sz="0" w:space="0" w:color="auto"/>
                            <w:bottom w:val="none" w:sz="0" w:space="0" w:color="auto"/>
                            <w:right w:val="none" w:sz="0" w:space="0" w:color="auto"/>
                          </w:divBdr>
                          <w:divsChild>
                            <w:div w:id="1556698821">
                              <w:marLeft w:val="0"/>
                              <w:marRight w:val="0"/>
                              <w:marTop w:val="0"/>
                              <w:marBottom w:val="0"/>
                              <w:divBdr>
                                <w:top w:val="none" w:sz="0" w:space="0" w:color="auto"/>
                                <w:left w:val="none" w:sz="0" w:space="0" w:color="auto"/>
                                <w:bottom w:val="none" w:sz="0" w:space="0" w:color="auto"/>
                                <w:right w:val="none" w:sz="0" w:space="0" w:color="auto"/>
                              </w:divBdr>
                              <w:divsChild>
                                <w:div w:id="209389854">
                                  <w:marLeft w:val="10530"/>
                                  <w:marRight w:val="0"/>
                                  <w:marTop w:val="0"/>
                                  <w:marBottom w:val="0"/>
                                  <w:divBdr>
                                    <w:top w:val="none" w:sz="0" w:space="0" w:color="auto"/>
                                    <w:left w:val="none" w:sz="0" w:space="0" w:color="auto"/>
                                    <w:bottom w:val="none" w:sz="0" w:space="0" w:color="auto"/>
                                    <w:right w:val="none" w:sz="0" w:space="0" w:color="auto"/>
                                  </w:divBdr>
                                  <w:divsChild>
                                    <w:div w:id="353965184">
                                      <w:marLeft w:val="0"/>
                                      <w:marRight w:val="0"/>
                                      <w:marTop w:val="0"/>
                                      <w:marBottom w:val="0"/>
                                      <w:divBdr>
                                        <w:top w:val="none" w:sz="0" w:space="0" w:color="auto"/>
                                        <w:left w:val="none" w:sz="0" w:space="0" w:color="auto"/>
                                        <w:bottom w:val="none" w:sz="0" w:space="0" w:color="auto"/>
                                        <w:right w:val="none" w:sz="0" w:space="0" w:color="auto"/>
                                      </w:divBdr>
                                      <w:divsChild>
                                        <w:div w:id="2112504650">
                                          <w:marLeft w:val="0"/>
                                          <w:marRight w:val="0"/>
                                          <w:marTop w:val="0"/>
                                          <w:marBottom w:val="0"/>
                                          <w:divBdr>
                                            <w:top w:val="none" w:sz="0" w:space="0" w:color="auto"/>
                                            <w:left w:val="none" w:sz="0" w:space="0" w:color="auto"/>
                                            <w:bottom w:val="none" w:sz="0" w:space="0" w:color="auto"/>
                                            <w:right w:val="none" w:sz="0" w:space="0" w:color="auto"/>
                                          </w:divBdr>
                                          <w:divsChild>
                                            <w:div w:id="993028090">
                                              <w:marLeft w:val="0"/>
                                              <w:marRight w:val="0"/>
                                              <w:marTop w:val="0"/>
                                              <w:marBottom w:val="0"/>
                                              <w:divBdr>
                                                <w:top w:val="none" w:sz="0" w:space="0" w:color="auto"/>
                                                <w:left w:val="none" w:sz="0" w:space="0" w:color="auto"/>
                                                <w:bottom w:val="none" w:sz="0" w:space="0" w:color="auto"/>
                                                <w:right w:val="none" w:sz="0" w:space="0" w:color="auto"/>
                                              </w:divBdr>
                                              <w:divsChild>
                                                <w:div w:id="1522430635">
                                                  <w:marLeft w:val="0"/>
                                                  <w:marRight w:val="0"/>
                                                  <w:marTop w:val="0"/>
                                                  <w:marBottom w:val="0"/>
                                                  <w:divBdr>
                                                    <w:top w:val="none" w:sz="0" w:space="0" w:color="auto"/>
                                                    <w:left w:val="none" w:sz="0" w:space="0" w:color="auto"/>
                                                    <w:bottom w:val="none" w:sz="0" w:space="0" w:color="auto"/>
                                                    <w:right w:val="none" w:sz="0" w:space="0" w:color="auto"/>
                                                  </w:divBdr>
                                                  <w:divsChild>
                                                    <w:div w:id="892741931">
                                                      <w:marLeft w:val="0"/>
                                                      <w:marRight w:val="0"/>
                                                      <w:marTop w:val="0"/>
                                                      <w:marBottom w:val="0"/>
                                                      <w:divBdr>
                                                        <w:top w:val="none" w:sz="0" w:space="0" w:color="auto"/>
                                                        <w:left w:val="none" w:sz="0" w:space="0" w:color="auto"/>
                                                        <w:bottom w:val="none" w:sz="0" w:space="0" w:color="auto"/>
                                                        <w:right w:val="none" w:sz="0" w:space="0" w:color="auto"/>
                                                      </w:divBdr>
                                                      <w:divsChild>
                                                        <w:div w:id="1117335406">
                                                          <w:marLeft w:val="0"/>
                                                          <w:marRight w:val="0"/>
                                                          <w:marTop w:val="0"/>
                                                          <w:marBottom w:val="0"/>
                                                          <w:divBdr>
                                                            <w:top w:val="none" w:sz="0" w:space="0" w:color="auto"/>
                                                            <w:left w:val="none" w:sz="0" w:space="0" w:color="auto"/>
                                                            <w:bottom w:val="none" w:sz="0" w:space="0" w:color="auto"/>
                                                            <w:right w:val="none" w:sz="0" w:space="0" w:color="auto"/>
                                                          </w:divBdr>
                                                          <w:divsChild>
                                                            <w:div w:id="978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909364">
      <w:bodyDiv w:val="1"/>
      <w:marLeft w:val="0"/>
      <w:marRight w:val="0"/>
      <w:marTop w:val="0"/>
      <w:marBottom w:val="0"/>
      <w:divBdr>
        <w:top w:val="none" w:sz="0" w:space="0" w:color="auto"/>
        <w:left w:val="none" w:sz="0" w:space="0" w:color="auto"/>
        <w:bottom w:val="none" w:sz="0" w:space="0" w:color="auto"/>
        <w:right w:val="none" w:sz="0" w:space="0" w:color="auto"/>
      </w:divBdr>
    </w:div>
    <w:div w:id="1050767202">
      <w:bodyDiv w:val="1"/>
      <w:marLeft w:val="0"/>
      <w:marRight w:val="0"/>
      <w:marTop w:val="0"/>
      <w:marBottom w:val="0"/>
      <w:divBdr>
        <w:top w:val="none" w:sz="0" w:space="0" w:color="auto"/>
        <w:left w:val="none" w:sz="0" w:space="0" w:color="auto"/>
        <w:bottom w:val="none" w:sz="0" w:space="0" w:color="auto"/>
        <w:right w:val="none" w:sz="0" w:space="0" w:color="auto"/>
      </w:divBdr>
    </w:div>
    <w:div w:id="1544899408">
      <w:bodyDiv w:val="1"/>
      <w:marLeft w:val="0"/>
      <w:marRight w:val="0"/>
      <w:marTop w:val="0"/>
      <w:marBottom w:val="0"/>
      <w:divBdr>
        <w:top w:val="none" w:sz="0" w:space="0" w:color="auto"/>
        <w:left w:val="none" w:sz="0" w:space="0" w:color="auto"/>
        <w:bottom w:val="none" w:sz="0" w:space="0" w:color="auto"/>
        <w:right w:val="none" w:sz="0" w:space="0" w:color="auto"/>
      </w:divBdr>
      <w:divsChild>
        <w:div w:id="1179348688">
          <w:marLeft w:val="0"/>
          <w:marRight w:val="0"/>
          <w:marTop w:val="0"/>
          <w:marBottom w:val="0"/>
          <w:divBdr>
            <w:top w:val="none" w:sz="0" w:space="0" w:color="auto"/>
            <w:left w:val="none" w:sz="0" w:space="0" w:color="auto"/>
            <w:bottom w:val="none" w:sz="0" w:space="0" w:color="auto"/>
            <w:right w:val="none" w:sz="0" w:space="0" w:color="auto"/>
          </w:divBdr>
          <w:divsChild>
            <w:div w:id="2024629110">
              <w:marLeft w:val="0"/>
              <w:marRight w:val="0"/>
              <w:marTop w:val="0"/>
              <w:marBottom w:val="0"/>
              <w:divBdr>
                <w:top w:val="none" w:sz="0" w:space="0" w:color="auto"/>
                <w:left w:val="none" w:sz="0" w:space="0" w:color="auto"/>
                <w:bottom w:val="none" w:sz="0" w:space="0" w:color="auto"/>
                <w:right w:val="none" w:sz="0" w:space="0" w:color="auto"/>
              </w:divBdr>
              <w:divsChild>
                <w:div w:id="1729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bli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iblik.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2D15-05EF-45CE-AFB7-C71DF23A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Nina Hellar</cp:lastModifiedBy>
  <cp:revision>2</cp:revision>
  <dcterms:created xsi:type="dcterms:W3CDTF">2019-10-02T13:02:00Z</dcterms:created>
  <dcterms:modified xsi:type="dcterms:W3CDTF">2019-10-02T13:02:00Z</dcterms:modified>
</cp:coreProperties>
</file>