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C32EC" w14:textId="77777777" w:rsidR="00EB4E9E" w:rsidRDefault="00EB4E9E" w:rsidP="008A030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de-DE"/>
        </w:rPr>
        <w:t xml:space="preserve">BAB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de-DE" w:eastAsia="de-DE"/>
        </w:rPr>
        <w:t>eibPort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de-DE" w:eastAsia="de-DE"/>
        </w:rPr>
        <w:t xml:space="preserve"> V3</w:t>
      </w:r>
    </w:p>
    <w:p w14:paraId="2D3842C8" w14:textId="3B005549" w:rsidR="008A0300" w:rsidRPr="00BD73F2" w:rsidRDefault="00EB4E9E" w:rsidP="00EB4E9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32"/>
          <w:szCs w:val="32"/>
          <w:lang w:val="de-DE" w:eastAsia="de-DE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de-DE"/>
        </w:rPr>
        <w:t>Visualisieren. Automatisieren. Integrieren.</w:t>
      </w:r>
    </w:p>
    <w:p w14:paraId="762006D3" w14:textId="6EE954AB" w:rsidR="00EB4E9E" w:rsidRDefault="00EB4E9E" w:rsidP="00EB4E9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Der EIBPORT verbindet die KNX-Gebäudesteuerung mit der IP-Welt.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Erstellen Sie individuelle Visualisierungen auf intuitive Weise 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und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nahezu automatisch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.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Ob einfach oder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komplex – verwenden Sie </w:t>
      </w:r>
      <w:proofErr w:type="spellStart"/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über</w:t>
      </w:r>
      <w:proofErr w:type="spellEnd"/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50 integrierte Dienste </w:t>
      </w:r>
      <w:proofErr w:type="spellStart"/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für</w:t>
      </w:r>
      <w:proofErr w:type="spellEnd"/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annähernd alle Automatisierungsaufgaben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und integrieren Sie Drittanwendungen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wie 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 xml:space="preserve">Ihre </w:t>
      </w: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Amazon® Alexa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>.</w:t>
      </w:r>
    </w:p>
    <w:p w14:paraId="51663847" w14:textId="77777777" w:rsidR="00EB4E9E" w:rsidRDefault="00EB4E9E" w:rsidP="00EB4E9E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18"/>
          <w:szCs w:val="18"/>
          <w:lang w:val="de-DE" w:eastAsia="de-DE"/>
        </w:rPr>
      </w:pPr>
    </w:p>
    <w:p w14:paraId="6F0A676E" w14:textId="77777777" w:rsidR="00EB4E9E" w:rsidRDefault="00EB4E9E" w:rsidP="00EB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F</w:t>
      </w:r>
      <w:r>
        <w:rPr>
          <w:rFonts w:ascii="Arial" w:eastAsia="Times New Roman" w:hAnsi="Arial" w:cs="Arial"/>
          <w:b/>
          <w:sz w:val="18"/>
          <w:szCs w:val="18"/>
          <w:lang w:val="de-DE" w:eastAsia="de-DE"/>
        </w:rPr>
        <w:t>lexibel und Lizenzkostenfrei</w:t>
      </w:r>
    </w:p>
    <w:p w14:paraId="5989CFDC" w14:textId="4AE66109" w:rsidR="00EB4E9E" w:rsidRPr="00EB4E9E" w:rsidRDefault="00EB4E9E" w:rsidP="00EB4E9E">
      <w:pPr>
        <w:spacing w:before="200" w:after="200" w:line="36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Dank Browser-basierter und lizenzkostenfreier Visualisierung kann nahezu jedes Endgerät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für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die Steuerung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der Gebäudeautomation eingesetzt werden. Ob Smartphone, Tablet, Touch-Panel-PC oder neu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Amazon Alexa: Mit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über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50 integrierten Diensten und seiner leistungsfähigen Hardware ist der EIBPORT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sowohl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für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das Eigenheim als auch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für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das mittlere Gewerbeobjekt bestens geeignet. Ob komplexe Projekte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mit individueller Visualisierung, oder die elegante CUBEVISION-Visualisierung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für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das smarte Zuhause: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die flexible Architektur des EIBPORT macht ihn zu einem universal einsetzbaren, zukunftssicheren Werkzeug.</w:t>
      </w:r>
    </w:p>
    <w:p w14:paraId="6E0D2208" w14:textId="77777777" w:rsidR="00EB4E9E" w:rsidRPr="00EB4E9E" w:rsidRDefault="00EB4E9E" w:rsidP="00EB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Schneller ans Ziel</w:t>
      </w:r>
    </w:p>
    <w:p w14:paraId="032574E8" w14:textId="171266E0" w:rsidR="00EB4E9E" w:rsidRDefault="00EB4E9E" w:rsidP="00EB4E9E">
      <w:pPr>
        <w:spacing w:before="200" w:after="200" w:line="36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Mit Hilfe der integrierten, innovativen CUBEVISION-Technologie erstellen Sie exklusive Visualisierungen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im Handumdrehen. Oder verwenden Sie CONTROL L, um individuelle Visualisierungen zu generieren. Mit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Hilfe der Live-Vorschau, Stilvorlagen und vielen vorgefertigten Elementen generieren Sie auf schnellstem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Wege individuelle Visualisierungen. Mit dem grafischen LOGIKEDITOR ist der EIBPORT auch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für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komplexe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Aufgaben bestens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gerüstet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. Mit ihm erstellen Sie komplexe und smarte Automatisierungsfunktionen.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Durch die übersichtliche Darstellung, intelligente Werkzeuge und den Simulationsmodus inklusive Zeitskalierung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kommen Sie schneller ans Ziel. </w:t>
      </w:r>
    </w:p>
    <w:p w14:paraId="42899B02" w14:textId="086497DE" w:rsidR="00EB4E9E" w:rsidRPr="00EB4E9E" w:rsidRDefault="00EB4E9E" w:rsidP="00EB4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b/>
          <w:sz w:val="18"/>
          <w:szCs w:val="18"/>
          <w:lang w:val="de-DE" w:eastAsia="de-DE"/>
        </w:rPr>
        <w:t>Unabhängig. Mit System und Zukunft</w:t>
      </w:r>
    </w:p>
    <w:p w14:paraId="370BC7B1" w14:textId="590CEC93" w:rsidR="00EB4E9E" w:rsidRDefault="00EB4E9E" w:rsidP="00EB4E9E">
      <w:pPr>
        <w:spacing w:before="200" w:after="200" w:line="360" w:lineRule="auto"/>
        <w:rPr>
          <w:rFonts w:ascii="Arial" w:eastAsia="Times New Roman" w:hAnsi="Arial" w:cs="Arial"/>
          <w:sz w:val="18"/>
          <w:szCs w:val="18"/>
          <w:lang w:val="de-DE" w:eastAsia="de-DE"/>
        </w:rPr>
      </w:pP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Ob Touch-Panel-PC, Smartphone oder Tablet. Der EIBPORT bietet eine einheitliche Visualisierung auf nahezu</w:t>
      </w:r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allen Endgeräten. Ohne weitere Lizenzkosten. Die flexible Architektur des EIBPORT sorgt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dafür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, </w:t>
      </w:r>
      <w:proofErr w:type="gram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das</w:t>
      </w:r>
      <w:proofErr w:type="gramEnd"/>
      <w:r>
        <w:rPr>
          <w:rFonts w:ascii="Arial" w:eastAsia="Times New Roman" w:hAnsi="Arial" w:cs="Arial"/>
          <w:sz w:val="18"/>
          <w:szCs w:val="18"/>
          <w:lang w:val="de-DE" w:eastAsia="de-DE"/>
        </w:rPr>
        <w:t xml:space="preserve">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dass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auch in Zukunft so bleibt. Neue Funktionen erhalten Sie </w:t>
      </w:r>
      <w:proofErr w:type="spellStart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>über</w:t>
      </w:r>
      <w:proofErr w:type="spellEnd"/>
      <w:r w:rsidRPr="00EB4E9E">
        <w:rPr>
          <w:rFonts w:ascii="Arial" w:eastAsia="Times New Roman" w:hAnsi="Arial" w:cs="Arial"/>
          <w:sz w:val="18"/>
          <w:szCs w:val="18"/>
          <w:lang w:val="de-DE" w:eastAsia="de-DE"/>
        </w:rPr>
        <w:t xml:space="preserve"> kostenlose Updates.</w:t>
      </w:r>
    </w:p>
    <w:p w14:paraId="7217EE34" w14:textId="1F85B46A" w:rsidR="00B02BCE" w:rsidRPr="005167C8" w:rsidRDefault="0037690B" w:rsidP="00B02BC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val="de-DE" w:eastAsia="de-DE"/>
        </w:rPr>
      </w:pPr>
      <w:r>
        <w:rPr>
          <w:rFonts w:ascii="Arial" w:hAnsi="Arial" w:cs="Arial"/>
          <w:i/>
          <w:sz w:val="18"/>
          <w:szCs w:val="18"/>
          <w:highlight w:val="lightGray"/>
        </w:rPr>
        <w:t>(1.</w:t>
      </w:r>
      <w:r w:rsidR="004373CA">
        <w:rPr>
          <w:rFonts w:ascii="Arial" w:hAnsi="Arial" w:cs="Arial"/>
          <w:i/>
          <w:sz w:val="18"/>
          <w:szCs w:val="18"/>
          <w:highlight w:val="lightGray"/>
        </w:rPr>
        <w:t>9</w:t>
      </w:r>
      <w:r w:rsidR="00EB4E9E">
        <w:rPr>
          <w:rFonts w:ascii="Arial" w:hAnsi="Arial" w:cs="Arial"/>
          <w:i/>
          <w:sz w:val="18"/>
          <w:szCs w:val="18"/>
          <w:highlight w:val="lightGray"/>
        </w:rPr>
        <w:t>61</w:t>
      </w:r>
      <w:r w:rsidR="00B02BCE" w:rsidRPr="00E804B7">
        <w:rPr>
          <w:rFonts w:ascii="Arial" w:hAnsi="Arial" w:cs="Arial"/>
          <w:i/>
          <w:sz w:val="18"/>
          <w:szCs w:val="18"/>
          <w:highlight w:val="lightGray"/>
        </w:rPr>
        <w:t xml:space="preserve"> Zeichen ohne Überschrift)</w:t>
      </w:r>
    </w:p>
    <w:p w14:paraId="1B1A309C" w14:textId="77777777" w:rsidR="00B02BCE" w:rsidRPr="009D42F1" w:rsidRDefault="00B02BCE" w:rsidP="00B02BCE">
      <w:pPr>
        <w:tabs>
          <w:tab w:val="left" w:pos="521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highlight w:val="lightGray"/>
          <w:lang w:val="de-DE" w:eastAsia="de-DE"/>
        </w:rPr>
      </w:pPr>
    </w:p>
    <w:p w14:paraId="56C7A3EB" w14:textId="77777777" w:rsidR="00B02BCE" w:rsidRDefault="00B02BCE" w:rsidP="00B0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Produkte erhältlich bei </w:t>
      </w:r>
      <w:proofErr w:type="spellStart"/>
      <w:r>
        <w:rPr>
          <w:rFonts w:ascii="Arial" w:hAnsi="Arial" w:cs="Arial"/>
          <w:bCs/>
          <w:sz w:val="20"/>
          <w:szCs w:val="20"/>
        </w:rPr>
        <w:t>Siblik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4004BE5A" w14:textId="7639CF68" w:rsidR="00B02BCE" w:rsidRDefault="00127328" w:rsidP="00B0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hyperlink r:id="rId7" w:history="1">
        <w:r w:rsidR="008B5620" w:rsidRPr="002922CB">
          <w:rPr>
            <w:rStyle w:val="Link"/>
            <w:rFonts w:ascii="Arial" w:hAnsi="Arial" w:cs="Arial"/>
            <w:bCs/>
            <w:sz w:val="20"/>
            <w:szCs w:val="20"/>
          </w:rPr>
          <w:t>www.siblik.com</w:t>
        </w:r>
      </w:hyperlink>
    </w:p>
    <w:p w14:paraId="115DB662" w14:textId="77777777" w:rsidR="008B5620" w:rsidRDefault="008B5620" w:rsidP="00B0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1075652" w14:textId="17812D80" w:rsidR="00B02BCE" w:rsidRPr="00F975D9" w:rsidRDefault="009B766D" w:rsidP="00B02BC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val="de-DE" w:eastAsia="de-DE"/>
        </w:rPr>
        <w:lastRenderedPageBreak/>
        <w:drawing>
          <wp:inline distT="0" distB="0" distL="0" distR="0" wp14:anchorId="60328A0F" wp14:editId="7E88B0FC">
            <wp:extent cx="2440940" cy="2068830"/>
            <wp:effectExtent l="0" t="0" r="0" b="0"/>
            <wp:docPr id="4" name="Bild 4" descr="eibPort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bPortV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BD378" w14:textId="77777777" w:rsidR="003570A5" w:rsidRPr="003570A5" w:rsidRDefault="004373CA" w:rsidP="003570A5">
      <w:pPr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4373CA">
        <w:rPr>
          <w:rFonts w:ascii="Arial" w:hAnsi="Arial" w:cs="Arial"/>
          <w:i/>
          <w:sz w:val="20"/>
          <w:szCs w:val="20"/>
        </w:rPr>
        <w:t xml:space="preserve">Art. Nr. </w:t>
      </w:r>
      <w:r w:rsidR="003570A5">
        <w:rPr>
          <w:rFonts w:ascii="Arial" w:hAnsi="Arial" w:cs="Arial"/>
          <w:i/>
          <w:sz w:val="20"/>
          <w:szCs w:val="20"/>
        </w:rPr>
        <w:t xml:space="preserve">BAB-10104 - </w:t>
      </w:r>
      <w:r w:rsidR="003570A5" w:rsidRPr="003570A5">
        <w:rPr>
          <w:rFonts w:ascii="Arial" w:hAnsi="Arial" w:cs="Arial"/>
          <w:i/>
          <w:sz w:val="20"/>
          <w:szCs w:val="20"/>
        </w:rPr>
        <w:t xml:space="preserve">Der </w:t>
      </w:r>
      <w:proofErr w:type="spellStart"/>
      <w:r w:rsidR="003570A5" w:rsidRPr="003570A5">
        <w:rPr>
          <w:rFonts w:ascii="Arial" w:hAnsi="Arial" w:cs="Arial"/>
          <w:i/>
          <w:sz w:val="20"/>
          <w:szCs w:val="20"/>
        </w:rPr>
        <w:t>eibPort</w:t>
      </w:r>
      <w:proofErr w:type="spellEnd"/>
      <w:r w:rsidR="003570A5" w:rsidRPr="003570A5">
        <w:rPr>
          <w:rFonts w:ascii="Arial" w:hAnsi="Arial" w:cs="Arial"/>
          <w:i/>
          <w:sz w:val="20"/>
          <w:szCs w:val="20"/>
        </w:rPr>
        <w:t xml:space="preserve"> verbindet Ihre Gebäudesteuerung mit dem Netzwerk und dem Home-Entertainment.</w:t>
      </w:r>
    </w:p>
    <w:p w14:paraId="057EB922" w14:textId="77777777" w:rsidR="001B3F4C" w:rsidRDefault="001B3F4C" w:rsidP="001B3F4C">
      <w:pPr>
        <w:pBdr>
          <w:bottom w:val="single" w:sz="4" w:space="3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6990EF4B" w14:textId="623C8F74" w:rsidR="001B3F4C" w:rsidRDefault="00600C2C" w:rsidP="001B3F4C">
      <w:pPr>
        <w:pBdr>
          <w:bottom w:val="single" w:sz="4" w:space="31" w:color="auto"/>
        </w:pBd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de-DE" w:eastAsia="de-DE"/>
        </w:rPr>
        <w:drawing>
          <wp:inline distT="0" distB="0" distL="0" distR="0" wp14:anchorId="7551BB06" wp14:editId="2D7DC128">
            <wp:extent cx="2229815" cy="957623"/>
            <wp:effectExtent l="0" t="0" r="5715" b="7620"/>
            <wp:docPr id="1" name="Bild 1" descr="CUBEVISION-Galerie-verschiedene-Endgera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EVISION-Galerie-verschiedene-Endgerae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19" cy="96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CB0D1" w14:textId="753115A2" w:rsidR="00150CE3" w:rsidRDefault="00600C2C" w:rsidP="001B3F4C">
      <w:pPr>
        <w:pBdr>
          <w:bottom w:val="single" w:sz="4" w:space="3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i/>
          <w:sz w:val="20"/>
          <w:szCs w:val="20"/>
        </w:rPr>
        <w:t>CubeVision</w:t>
      </w:r>
      <w:proofErr w:type="spellEnd"/>
      <w:r w:rsidR="003570A5">
        <w:rPr>
          <w:rFonts w:ascii="Arial" w:hAnsi="Arial" w:cs="Arial"/>
          <w:i/>
          <w:sz w:val="20"/>
          <w:szCs w:val="20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>Die durchdachte Benutzeroberfläche skaliert automatisch auf nahezu allen Anzeigegeräten. So werden Smartphone, Tablet und Co. Im Nu zur Steuerzentrale für Ihr intelligentes Zuhause. (Art. Nr. BAB-10561)</w:t>
      </w:r>
      <w:bookmarkStart w:id="0" w:name="_GoBack"/>
      <w:bookmarkEnd w:id="0"/>
    </w:p>
    <w:p w14:paraId="56BA1237" w14:textId="77777777" w:rsidR="001B3F4C" w:rsidRDefault="001B3F4C" w:rsidP="00384D75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4AE82D39" w14:textId="77777777" w:rsidR="00150CE3" w:rsidRPr="00F975D9" w:rsidRDefault="00150CE3" w:rsidP="00384D75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F975D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SIBLIK. Wir schalten schneller</w:t>
      </w:r>
      <w:r w:rsidR="007C6418" w:rsidRPr="00F975D9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.</w:t>
      </w:r>
    </w:p>
    <w:p w14:paraId="481BD021" w14:textId="74C73CF0" w:rsidR="00150CE3" w:rsidRPr="00F975D9" w:rsidRDefault="00150CE3" w:rsidP="00384D7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F975D9">
        <w:rPr>
          <w:rFonts w:ascii="Arial" w:hAnsi="Arial" w:cs="Arial"/>
          <w:sz w:val="20"/>
          <w:szCs w:val="20"/>
        </w:rPr>
        <w:t>Siblik</w:t>
      </w:r>
      <w:proofErr w:type="spellEnd"/>
      <w:r w:rsidRPr="00F975D9">
        <w:rPr>
          <w:rFonts w:ascii="Arial" w:hAnsi="Arial" w:cs="Arial"/>
          <w:sz w:val="20"/>
          <w:szCs w:val="20"/>
        </w:rPr>
        <w:t xml:space="preserve"> Elektrik ist ein österreichweit tätiges Unternehmen mit Hauptsitz in Wien. Namhafte in- und ausländische Hersteller aus der Elektro- und Haustechnik-Branche sind eng mit </w:t>
      </w:r>
      <w:proofErr w:type="spellStart"/>
      <w:r w:rsidRPr="00F975D9">
        <w:rPr>
          <w:rFonts w:ascii="Arial" w:hAnsi="Arial" w:cs="Arial"/>
          <w:sz w:val="20"/>
          <w:szCs w:val="20"/>
        </w:rPr>
        <w:t>Siblik</w:t>
      </w:r>
      <w:proofErr w:type="spellEnd"/>
      <w:r w:rsidRPr="00F975D9">
        <w:rPr>
          <w:rFonts w:ascii="Arial" w:hAnsi="Arial" w:cs="Arial"/>
          <w:sz w:val="20"/>
          <w:szCs w:val="20"/>
        </w:rPr>
        <w:t xml:space="preserve"> verbunden und werden exklusiv in Österreich vertreten. Das traditionsreiche Unternehmen wurde 1938 gegründet und blickt somit auf </w:t>
      </w:r>
      <w:r w:rsidR="007026F7" w:rsidRPr="00F975D9">
        <w:rPr>
          <w:rFonts w:ascii="Arial" w:hAnsi="Arial" w:cs="Arial"/>
          <w:sz w:val="20"/>
          <w:szCs w:val="20"/>
        </w:rPr>
        <w:t xml:space="preserve">80 </w:t>
      </w:r>
      <w:r w:rsidRPr="00F975D9">
        <w:rPr>
          <w:rFonts w:ascii="Arial" w:hAnsi="Arial" w:cs="Arial"/>
          <w:sz w:val="20"/>
          <w:szCs w:val="20"/>
        </w:rPr>
        <w:t>Jahre Handelsvertretung zurück. Heute bes</w:t>
      </w:r>
      <w:r w:rsidR="00D41DD8">
        <w:rPr>
          <w:rFonts w:ascii="Arial" w:hAnsi="Arial" w:cs="Arial"/>
          <w:sz w:val="20"/>
          <w:szCs w:val="20"/>
        </w:rPr>
        <w:t xml:space="preserve">chäftigt </w:t>
      </w:r>
      <w:proofErr w:type="spellStart"/>
      <w:r w:rsidR="00D41DD8">
        <w:rPr>
          <w:rFonts w:ascii="Arial" w:hAnsi="Arial" w:cs="Arial"/>
          <w:sz w:val="20"/>
          <w:szCs w:val="20"/>
        </w:rPr>
        <w:t>Siblik</w:t>
      </w:r>
      <w:proofErr w:type="spellEnd"/>
      <w:r w:rsidR="00D41DD8">
        <w:rPr>
          <w:rFonts w:ascii="Arial" w:hAnsi="Arial" w:cs="Arial"/>
          <w:sz w:val="20"/>
          <w:szCs w:val="20"/>
        </w:rPr>
        <w:t xml:space="preserve"> Elektrik über 13</w:t>
      </w:r>
      <w:r w:rsidRPr="00F975D9">
        <w:rPr>
          <w:rFonts w:ascii="Arial" w:hAnsi="Arial" w:cs="Arial"/>
          <w:sz w:val="20"/>
          <w:szCs w:val="20"/>
        </w:rPr>
        <w:t xml:space="preserve">0 </w:t>
      </w:r>
      <w:proofErr w:type="spellStart"/>
      <w:r w:rsidRPr="00F975D9">
        <w:rPr>
          <w:rFonts w:ascii="Arial" w:hAnsi="Arial" w:cs="Arial"/>
          <w:sz w:val="20"/>
          <w:szCs w:val="20"/>
        </w:rPr>
        <w:t>Mitarbeiter</w:t>
      </w:r>
      <w:r w:rsidR="007026F7" w:rsidRPr="00F975D9">
        <w:rPr>
          <w:rFonts w:ascii="Arial" w:hAnsi="Arial" w:cs="Arial"/>
          <w:sz w:val="20"/>
          <w:szCs w:val="20"/>
        </w:rPr>
        <w:t>Innen</w:t>
      </w:r>
      <w:proofErr w:type="spellEnd"/>
      <w:r w:rsidRPr="00F975D9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6E0C5575" w14:textId="77777777" w:rsidR="00150CE3" w:rsidRPr="00F975D9" w:rsidRDefault="00150CE3" w:rsidP="00384D7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3750AE" w14:textId="77777777" w:rsidR="00150CE3" w:rsidRPr="00F975D9" w:rsidRDefault="00150CE3" w:rsidP="00384D7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975D9">
        <w:rPr>
          <w:rFonts w:ascii="Arial" w:eastAsia="Times New Roman" w:hAnsi="Arial" w:cs="Arial"/>
          <w:sz w:val="20"/>
          <w:szCs w:val="20"/>
          <w:lang w:eastAsia="de-DE"/>
        </w:rPr>
        <w:t xml:space="preserve">Mehr unter </w:t>
      </w:r>
      <w:hyperlink r:id="rId10" w:history="1">
        <w:r w:rsidRPr="00F975D9">
          <w:rPr>
            <w:rStyle w:val="Link"/>
            <w:rFonts w:ascii="Arial" w:eastAsia="Times New Roman" w:hAnsi="Arial" w:cs="Arial"/>
            <w:sz w:val="20"/>
            <w:szCs w:val="20"/>
            <w:u w:val="none"/>
            <w:lang w:eastAsia="de-DE"/>
          </w:rPr>
          <w:t>www.siblik.com</w:t>
        </w:r>
      </w:hyperlink>
      <w:r w:rsidR="0018452D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71F01B2" w14:textId="77777777" w:rsidR="00150CE3" w:rsidRPr="00F975D9" w:rsidRDefault="00150CE3" w:rsidP="00384D75">
      <w:pPr>
        <w:spacing w:after="0" w:line="264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B90E561" w14:textId="789E2E31" w:rsidR="009F7368" w:rsidRPr="00F975D9" w:rsidRDefault="008B5620" w:rsidP="00384D75">
      <w:pPr>
        <w:spacing w:after="0" w:line="264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Rückfragen an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9"/>
      </w:tblGrid>
      <w:tr w:rsidR="00150CE3" w:rsidRPr="00F975D9" w14:paraId="6B81B9FA" w14:textId="77777777" w:rsidTr="00150CE3">
        <w:tc>
          <w:tcPr>
            <w:tcW w:w="4038" w:type="dxa"/>
            <w:hideMark/>
          </w:tcPr>
          <w:p w14:paraId="675F0D2D" w14:textId="481CF4A5" w:rsidR="008B5620" w:rsidRDefault="008B5620" w:rsidP="00384D7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Nina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Hellar</w:t>
            </w:r>
            <w:proofErr w:type="spellEnd"/>
          </w:p>
          <w:p w14:paraId="44896F75" w14:textId="6785BBDC" w:rsidR="008B5620" w:rsidRDefault="008B5620" w:rsidP="00384D7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Marketing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Kommunikation</w:t>
            </w:r>
            <w:proofErr w:type="spellEnd"/>
          </w:p>
          <w:p w14:paraId="77EC0AEE" w14:textId="77777777" w:rsidR="008B5620" w:rsidRPr="00F975D9" w:rsidRDefault="008B5620" w:rsidP="008B5620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proofErr w:type="spellStart"/>
            <w:r w:rsidRPr="00F975D9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Siblik</w:t>
            </w:r>
            <w:proofErr w:type="spellEnd"/>
            <w:r w:rsidRPr="00F975D9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F975D9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Elektrik</w:t>
            </w:r>
            <w:proofErr w:type="spellEnd"/>
            <w:r w:rsidRPr="00F975D9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</w:t>
            </w:r>
            <w:proofErr w:type="spellStart"/>
            <w:r w:rsidRPr="00F975D9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GmbH</w:t>
            </w:r>
            <w:proofErr w:type="spellEnd"/>
            <w:r w:rsidRPr="00F975D9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 xml:space="preserve"> &amp; Co. KG</w:t>
            </w:r>
          </w:p>
          <w:p w14:paraId="1084D764" w14:textId="0EA4D37F" w:rsidR="008B5620" w:rsidRDefault="008B5620" w:rsidP="00384D7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+43 676 83006236</w:t>
            </w:r>
          </w:p>
          <w:p w14:paraId="07EDC7F7" w14:textId="19E23456" w:rsidR="008B5620" w:rsidRDefault="008B5620" w:rsidP="00384D7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nina.hellar@siblik.com</w:t>
            </w:r>
          </w:p>
          <w:p w14:paraId="09ACC16E" w14:textId="15FE8B48" w:rsidR="00150CE3" w:rsidRPr="00F975D9" w:rsidRDefault="00150CE3" w:rsidP="00384D7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</w:p>
        </w:tc>
        <w:tc>
          <w:tcPr>
            <w:tcW w:w="4039" w:type="dxa"/>
          </w:tcPr>
          <w:p w14:paraId="43854A57" w14:textId="77777777" w:rsidR="00150CE3" w:rsidRPr="00F975D9" w:rsidRDefault="00150CE3" w:rsidP="00384D75">
            <w:pPr>
              <w:spacing w:after="0" w:line="264" w:lineRule="auto"/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</w:pPr>
          </w:p>
        </w:tc>
      </w:tr>
    </w:tbl>
    <w:p w14:paraId="6AC8ABDF" w14:textId="77777777" w:rsidR="000C347C" w:rsidRPr="00F975D9" w:rsidRDefault="000C347C" w:rsidP="00F975D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C347C" w:rsidRPr="00F975D9" w:rsidSect="00EB5A90">
      <w:headerReference w:type="default" r:id="rId11"/>
      <w:footerReference w:type="default" r:id="rId12"/>
      <w:pgSz w:w="11906" w:h="16838"/>
      <w:pgMar w:top="2094" w:right="1133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49E69" w14:textId="77777777" w:rsidR="00127328" w:rsidRDefault="00127328" w:rsidP="00413261">
      <w:pPr>
        <w:spacing w:after="0" w:line="240" w:lineRule="auto"/>
      </w:pPr>
      <w:r>
        <w:separator/>
      </w:r>
    </w:p>
  </w:endnote>
  <w:endnote w:type="continuationSeparator" w:id="0">
    <w:p w14:paraId="5846B198" w14:textId="77777777" w:rsidR="00127328" w:rsidRDefault="00127328" w:rsidP="0041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F113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07982" w14:textId="77777777" w:rsidR="00127328" w:rsidRDefault="00127328" w:rsidP="00413261">
      <w:pPr>
        <w:spacing w:after="0" w:line="240" w:lineRule="auto"/>
      </w:pPr>
      <w:r>
        <w:separator/>
      </w:r>
    </w:p>
  </w:footnote>
  <w:footnote w:type="continuationSeparator" w:id="0">
    <w:p w14:paraId="1AC2CEDA" w14:textId="77777777" w:rsidR="00127328" w:rsidRDefault="00127328" w:rsidP="0041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67430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5E2A519F" wp14:editId="188A3368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11CE4"/>
    <w:multiLevelType w:val="multilevel"/>
    <w:tmpl w:val="3910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80436"/>
    <w:rsid w:val="000A4F9E"/>
    <w:rsid w:val="000C347C"/>
    <w:rsid w:val="000C465A"/>
    <w:rsid w:val="000C68FC"/>
    <w:rsid w:val="000D6481"/>
    <w:rsid w:val="00100624"/>
    <w:rsid w:val="0011003A"/>
    <w:rsid w:val="0012699A"/>
    <w:rsid w:val="00127328"/>
    <w:rsid w:val="001317FF"/>
    <w:rsid w:val="00150CE3"/>
    <w:rsid w:val="00152A8B"/>
    <w:rsid w:val="0018452D"/>
    <w:rsid w:val="00195B9E"/>
    <w:rsid w:val="001B03B6"/>
    <w:rsid w:val="001B3F4C"/>
    <w:rsid w:val="001B51C7"/>
    <w:rsid w:val="001B75DE"/>
    <w:rsid w:val="001F5741"/>
    <w:rsid w:val="00225650"/>
    <w:rsid w:val="002328D9"/>
    <w:rsid w:val="002479F8"/>
    <w:rsid w:val="002679AE"/>
    <w:rsid w:val="002900CB"/>
    <w:rsid w:val="002A5044"/>
    <w:rsid w:val="002B0B86"/>
    <w:rsid w:val="002B20B7"/>
    <w:rsid w:val="002E63E0"/>
    <w:rsid w:val="002F57C9"/>
    <w:rsid w:val="002F764C"/>
    <w:rsid w:val="00317210"/>
    <w:rsid w:val="00325EF4"/>
    <w:rsid w:val="003570A5"/>
    <w:rsid w:val="003671F1"/>
    <w:rsid w:val="0037690B"/>
    <w:rsid w:val="00381CD4"/>
    <w:rsid w:val="00384D75"/>
    <w:rsid w:val="003A3427"/>
    <w:rsid w:val="003D27A2"/>
    <w:rsid w:val="00410F50"/>
    <w:rsid w:val="00413261"/>
    <w:rsid w:val="00425FD4"/>
    <w:rsid w:val="004373CA"/>
    <w:rsid w:val="0043799C"/>
    <w:rsid w:val="00502EA0"/>
    <w:rsid w:val="005167C8"/>
    <w:rsid w:val="005502FF"/>
    <w:rsid w:val="00552AA6"/>
    <w:rsid w:val="00566F65"/>
    <w:rsid w:val="0056728E"/>
    <w:rsid w:val="00572A61"/>
    <w:rsid w:val="00577C06"/>
    <w:rsid w:val="005928F1"/>
    <w:rsid w:val="005A3EF5"/>
    <w:rsid w:val="005A63D6"/>
    <w:rsid w:val="005B1A10"/>
    <w:rsid w:val="005D2136"/>
    <w:rsid w:val="005E369B"/>
    <w:rsid w:val="005F37D9"/>
    <w:rsid w:val="00600C2C"/>
    <w:rsid w:val="00630925"/>
    <w:rsid w:val="0063107E"/>
    <w:rsid w:val="00654F50"/>
    <w:rsid w:val="006A5E50"/>
    <w:rsid w:val="006D03EF"/>
    <w:rsid w:val="006E5D51"/>
    <w:rsid w:val="006F09FF"/>
    <w:rsid w:val="006F62B9"/>
    <w:rsid w:val="007026F7"/>
    <w:rsid w:val="00734216"/>
    <w:rsid w:val="00743B0A"/>
    <w:rsid w:val="00747F93"/>
    <w:rsid w:val="00757B67"/>
    <w:rsid w:val="0077155A"/>
    <w:rsid w:val="007A2905"/>
    <w:rsid w:val="007B08E6"/>
    <w:rsid w:val="007C2EA8"/>
    <w:rsid w:val="007C6418"/>
    <w:rsid w:val="007E2334"/>
    <w:rsid w:val="00800381"/>
    <w:rsid w:val="00812BE9"/>
    <w:rsid w:val="008334FF"/>
    <w:rsid w:val="008418A7"/>
    <w:rsid w:val="00842057"/>
    <w:rsid w:val="008A0300"/>
    <w:rsid w:val="008B5620"/>
    <w:rsid w:val="008C54A8"/>
    <w:rsid w:val="008D3991"/>
    <w:rsid w:val="009014A3"/>
    <w:rsid w:val="009616AF"/>
    <w:rsid w:val="009762BF"/>
    <w:rsid w:val="00985196"/>
    <w:rsid w:val="0098566D"/>
    <w:rsid w:val="00993C7F"/>
    <w:rsid w:val="009B58BD"/>
    <w:rsid w:val="009B649F"/>
    <w:rsid w:val="009B766D"/>
    <w:rsid w:val="009D42F1"/>
    <w:rsid w:val="009E4E7F"/>
    <w:rsid w:val="009F7368"/>
    <w:rsid w:val="00A02617"/>
    <w:rsid w:val="00A0329F"/>
    <w:rsid w:val="00A07677"/>
    <w:rsid w:val="00A46E52"/>
    <w:rsid w:val="00A707EF"/>
    <w:rsid w:val="00AB5ABD"/>
    <w:rsid w:val="00AC2135"/>
    <w:rsid w:val="00AE0230"/>
    <w:rsid w:val="00AE585E"/>
    <w:rsid w:val="00AE789B"/>
    <w:rsid w:val="00AF751D"/>
    <w:rsid w:val="00B02BCE"/>
    <w:rsid w:val="00B158F0"/>
    <w:rsid w:val="00B31289"/>
    <w:rsid w:val="00B36F38"/>
    <w:rsid w:val="00B4162A"/>
    <w:rsid w:val="00B43A64"/>
    <w:rsid w:val="00B74C21"/>
    <w:rsid w:val="00B812E8"/>
    <w:rsid w:val="00BB6D4C"/>
    <w:rsid w:val="00BD73F2"/>
    <w:rsid w:val="00BE2BC9"/>
    <w:rsid w:val="00C03E3B"/>
    <w:rsid w:val="00C34D4F"/>
    <w:rsid w:val="00C466BB"/>
    <w:rsid w:val="00CA567B"/>
    <w:rsid w:val="00CC3ACA"/>
    <w:rsid w:val="00CD2761"/>
    <w:rsid w:val="00CF2B63"/>
    <w:rsid w:val="00CF65F1"/>
    <w:rsid w:val="00D1004A"/>
    <w:rsid w:val="00D41DD8"/>
    <w:rsid w:val="00D84874"/>
    <w:rsid w:val="00D936B4"/>
    <w:rsid w:val="00D95820"/>
    <w:rsid w:val="00DB66D5"/>
    <w:rsid w:val="00DC415A"/>
    <w:rsid w:val="00DF087B"/>
    <w:rsid w:val="00E05B58"/>
    <w:rsid w:val="00E17BBF"/>
    <w:rsid w:val="00E51EAC"/>
    <w:rsid w:val="00E63380"/>
    <w:rsid w:val="00E85183"/>
    <w:rsid w:val="00E90571"/>
    <w:rsid w:val="00EB4E9E"/>
    <w:rsid w:val="00EB5A90"/>
    <w:rsid w:val="00EB6310"/>
    <w:rsid w:val="00EE17E6"/>
    <w:rsid w:val="00F733D9"/>
    <w:rsid w:val="00F975D9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0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Zwischenberschrift">
    <w:name w:val="Zwischenüberschrift"/>
    <w:basedOn w:val="Standard"/>
    <w:rsid w:val="009762BF"/>
    <w:pPr>
      <w:spacing w:before="120" w:after="120" w:line="360" w:lineRule="auto"/>
      <w:jc w:val="both"/>
    </w:pPr>
    <w:rPr>
      <w:rFonts w:ascii="Swis721 Md BT" w:eastAsia="Times New Roman" w:hAnsi="Swis721 Md BT" w:cs="Times New Roman"/>
      <w:b/>
      <w:szCs w:val="20"/>
      <w:lang w:val="de-DE" w:eastAsia="de-DE"/>
    </w:rPr>
  </w:style>
  <w:style w:type="paragraph" w:customStyle="1" w:styleId="Headline">
    <w:name w:val="Headline"/>
    <w:basedOn w:val="Standard"/>
    <w:rsid w:val="009762BF"/>
    <w:pPr>
      <w:spacing w:before="60" w:after="60" w:line="360" w:lineRule="auto"/>
    </w:pPr>
    <w:rPr>
      <w:rFonts w:ascii="Swis721 Md BT" w:eastAsia="Times New Roman" w:hAnsi="Swis721 Md BT" w:cs="Times New Roman"/>
      <w:b/>
      <w:sz w:val="26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9762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i/>
      <w:iCs/>
      <w:color w:val="000000"/>
      <w:szCs w:val="20"/>
      <w:u w:val="single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9762BF"/>
    <w:rPr>
      <w:rFonts w:ascii="Arial" w:eastAsia="Times New Roman" w:hAnsi="Arial" w:cs="Times New Roman"/>
      <w:i/>
      <w:iCs/>
      <w:color w:val="000000"/>
      <w:szCs w:val="20"/>
      <w:u w:val="single"/>
      <w:lang w:val="de-DE" w:eastAsia="de-DE"/>
    </w:rPr>
  </w:style>
  <w:style w:type="character" w:customStyle="1" w:styleId="text2">
    <w:name w:val="text2"/>
    <w:basedOn w:val="Absatz-Standardschriftart"/>
    <w:rsid w:val="0012699A"/>
  </w:style>
  <w:style w:type="character" w:customStyle="1" w:styleId="text5">
    <w:name w:val="text5"/>
    <w:basedOn w:val="Absatz-Standardschriftart"/>
    <w:rsid w:val="0012699A"/>
  </w:style>
  <w:style w:type="character" w:customStyle="1" w:styleId="hl2">
    <w:name w:val="hl2"/>
    <w:basedOn w:val="Absatz-Standardschriftart"/>
    <w:rsid w:val="0012699A"/>
  </w:style>
  <w:style w:type="character" w:customStyle="1" w:styleId="hl1">
    <w:name w:val="hl1"/>
    <w:basedOn w:val="Absatz-Standardschriftart"/>
    <w:rsid w:val="00BD73F2"/>
  </w:style>
  <w:style w:type="character" w:customStyle="1" w:styleId="text1">
    <w:name w:val="text1"/>
    <w:basedOn w:val="Absatz-Standardschriftart"/>
    <w:rsid w:val="00BD7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blik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sibl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7</cp:revision>
  <dcterms:created xsi:type="dcterms:W3CDTF">2018-07-09T09:24:00Z</dcterms:created>
  <dcterms:modified xsi:type="dcterms:W3CDTF">2018-07-09T12:04:00Z</dcterms:modified>
</cp:coreProperties>
</file>