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1578" w14:textId="5ABD8FB6" w:rsidR="00DA2125" w:rsidRDefault="00DA2125" w:rsidP="00D50B38">
      <w:pPr>
        <w:pStyle w:val="berschrift1"/>
        <w:rPr>
          <w:lang w:val="de-DE"/>
        </w:rPr>
      </w:pPr>
      <w:bookmarkStart w:id="0" w:name="_Toc50026906"/>
      <w:bookmarkStart w:id="1" w:name="_Toc45006746"/>
      <w:bookmarkStart w:id="2" w:name="_Toc246339862"/>
      <w:bookmarkStart w:id="3" w:name="_Toc243890612"/>
      <w:bookmarkStart w:id="4" w:name="_Toc245509033"/>
      <w:bookmarkStart w:id="5" w:name="_Ref245538301"/>
      <w:r w:rsidRPr="00DA2125">
        <w:rPr>
          <w:lang w:val="de-DE"/>
        </w:rPr>
        <w:t>Ausschreibungstext</w:t>
      </w:r>
      <w:r>
        <w:rPr>
          <w:lang w:val="de-DE"/>
        </w:rPr>
        <w:t xml:space="preserve"> </w:t>
      </w:r>
      <w:r w:rsidR="008A3685">
        <w:rPr>
          <w:lang w:val="de-DE"/>
        </w:rPr>
        <w:t xml:space="preserve">SolarEdge </w:t>
      </w:r>
      <w:r>
        <w:rPr>
          <w:lang w:val="de-DE"/>
        </w:rPr>
        <w:t>SE</w:t>
      </w:r>
      <w:r w:rsidR="006F3E0B">
        <w:rPr>
          <w:lang w:val="de-DE"/>
        </w:rPr>
        <w:t>66.6K, SE90K &amp; SE100K (400V)</w:t>
      </w:r>
      <w:r w:rsidR="00C331EA">
        <w:rPr>
          <w:lang w:val="de-DE"/>
        </w:rPr>
        <w:br/>
        <w:t>für Deutschland, Österreich, Schweiz</w:t>
      </w:r>
    </w:p>
    <w:p w14:paraId="5D2B88A1" w14:textId="20180AB2" w:rsidR="00DA2125" w:rsidRPr="00A365AD" w:rsidRDefault="00DA2125" w:rsidP="00D50B38">
      <w:pPr>
        <w:pStyle w:val="berschrift1"/>
      </w:pPr>
      <w:proofErr w:type="spellStart"/>
      <w:r w:rsidRPr="00A365AD">
        <w:t>Versionshistorie</w:t>
      </w:r>
      <w:bookmarkEnd w:id="0"/>
      <w:bookmarkEnd w:id="1"/>
      <w:proofErr w:type="spellEnd"/>
    </w:p>
    <w:p w14:paraId="6E0E0F72" w14:textId="3C9417CB" w:rsidR="00DA2125" w:rsidRDefault="00892D83" w:rsidP="003472AE">
      <w:pPr>
        <w:pStyle w:val="Bullets"/>
      </w:pPr>
      <w:r>
        <w:t>Version 1.</w:t>
      </w:r>
      <w:r w:rsidR="00FD7EB4">
        <w:t>1</w:t>
      </w:r>
      <w:r w:rsidR="00FD7EB4" w:rsidRPr="00A365AD">
        <w:t xml:space="preserve"> </w:t>
      </w:r>
      <w:r w:rsidR="00DA2125" w:rsidRPr="00A365AD">
        <w:t>(</w:t>
      </w:r>
      <w:r w:rsidR="006F3E0B">
        <w:t>Oktober 2021</w:t>
      </w:r>
      <w:r w:rsidR="00DA2125" w:rsidRPr="00A365AD">
        <w:t>) –</w:t>
      </w:r>
      <w:bookmarkStart w:id="6" w:name="_Toc50026907"/>
      <w:r w:rsidR="004807B3">
        <w:t xml:space="preserve"> </w:t>
      </w:r>
      <w:proofErr w:type="spellStart"/>
      <w:r w:rsidR="00C331EA">
        <w:t>Pre</w:t>
      </w:r>
      <w:proofErr w:type="spellEnd"/>
      <w:r w:rsidR="00C331EA">
        <w:t>-</w:t>
      </w:r>
      <w:r w:rsidR="00DA2125">
        <w:t>Release</w:t>
      </w:r>
    </w:p>
    <w:p w14:paraId="18619FEA" w14:textId="100112A1" w:rsidR="00BD327E" w:rsidRDefault="00BD327E" w:rsidP="003472AE">
      <w:pPr>
        <w:pStyle w:val="Bullets"/>
      </w:pPr>
      <w:r>
        <w:t>Version 1.2 (Januar 2023) - Update</w:t>
      </w:r>
    </w:p>
    <w:p w14:paraId="2C50B1CC" w14:textId="68151F46" w:rsidR="00DA2125" w:rsidRPr="00DA2125" w:rsidRDefault="00DA2125" w:rsidP="003472AE">
      <w:pPr>
        <w:pStyle w:val="Bullets"/>
        <w:numPr>
          <w:ilvl w:val="0"/>
          <w:numId w:val="0"/>
        </w:numPr>
      </w:pPr>
    </w:p>
    <w:bookmarkEnd w:id="6"/>
    <w:p w14:paraId="40F93D1B" w14:textId="4A9E66E9" w:rsidR="00DA2125" w:rsidRDefault="00DA2125" w:rsidP="0085511C">
      <w:pPr>
        <w:rPr>
          <w:b/>
          <w:color w:val="001446"/>
          <w:sz w:val="32"/>
          <w:szCs w:val="22"/>
          <w:lang w:bidi="ar-SA"/>
        </w:rPr>
      </w:pPr>
      <w:r w:rsidRPr="00DA2125">
        <w:rPr>
          <w:b/>
          <w:color w:val="001446"/>
          <w:sz w:val="32"/>
          <w:szCs w:val="22"/>
          <w:lang w:bidi="ar-SA"/>
        </w:rPr>
        <w:t xml:space="preserve">Wechselrichter 3-phasig </w:t>
      </w:r>
      <w:r>
        <w:rPr>
          <w:b/>
          <w:color w:val="001446"/>
          <w:sz w:val="32"/>
          <w:szCs w:val="22"/>
          <w:lang w:bidi="ar-SA"/>
        </w:rPr>
        <w:t>–</w:t>
      </w:r>
      <w:r w:rsidRPr="00DA2125">
        <w:rPr>
          <w:b/>
          <w:color w:val="001446"/>
          <w:sz w:val="32"/>
          <w:szCs w:val="22"/>
          <w:lang w:bidi="ar-SA"/>
        </w:rPr>
        <w:t xml:space="preserve"> </w:t>
      </w:r>
      <w:proofErr w:type="spellStart"/>
      <w:r w:rsidR="00C331EA">
        <w:rPr>
          <w:b/>
          <w:color w:val="001446"/>
          <w:sz w:val="32"/>
          <w:szCs w:val="22"/>
          <w:lang w:bidi="ar-SA"/>
        </w:rPr>
        <w:t>G</w:t>
      </w:r>
      <w:r w:rsidR="006F3E0B">
        <w:rPr>
          <w:b/>
          <w:color w:val="001446"/>
          <w:sz w:val="32"/>
          <w:szCs w:val="22"/>
          <w:lang w:bidi="ar-SA"/>
        </w:rPr>
        <w:t>roßanlagen</w:t>
      </w:r>
      <w:proofErr w:type="spellEnd"/>
    </w:p>
    <w:p w14:paraId="0A483F8B" w14:textId="77777777" w:rsidR="00DA2125" w:rsidRPr="00C87BDC" w:rsidRDefault="00DA2125" w:rsidP="00DA2125">
      <w:pPr>
        <w:spacing w:after="0" w:line="240" w:lineRule="auto"/>
        <w:rPr>
          <w:b/>
          <w:i/>
          <w:color w:val="1F497D"/>
          <w:sz w:val="20"/>
          <w:lang w:val="de-DE"/>
        </w:rPr>
      </w:pPr>
      <w:r w:rsidRPr="00C87BDC">
        <w:rPr>
          <w:b/>
          <w:i/>
          <w:color w:val="1F497D"/>
          <w:sz w:val="20"/>
          <w:lang w:val="de-DE"/>
        </w:rPr>
        <w:t>Leistungsbeschreibung (Muster):</w:t>
      </w:r>
    </w:p>
    <w:p w14:paraId="10BA6D5F" w14:textId="77777777" w:rsidR="00DA2125" w:rsidRPr="004B4BA4" w:rsidRDefault="00DA2125" w:rsidP="00DA2125">
      <w:pPr>
        <w:spacing w:after="0" w:line="240" w:lineRule="auto"/>
        <w:rPr>
          <w:sz w:val="24"/>
          <w:szCs w:val="24"/>
          <w:lang w:val="de-DE"/>
        </w:rPr>
      </w:pPr>
    </w:p>
    <w:p w14:paraId="5B029FFD" w14:textId="77777777" w:rsidR="00DA2125" w:rsidRPr="00CD7335" w:rsidRDefault="00DA2125" w:rsidP="00DA2125">
      <w:pPr>
        <w:spacing w:after="0" w:line="240" w:lineRule="auto"/>
        <w:rPr>
          <w:lang w:val="de-DE"/>
        </w:rPr>
      </w:pPr>
      <w:r>
        <w:rPr>
          <w:lang w:val="de-DE"/>
        </w:rPr>
        <w:t xml:space="preserve">Lieferung, Montage und elektrischer Anschluss geeigneter, system-spezifisch erforderlicher Wechselrichter zur Pos. ____ (PV-Generator mit _____kWp Generatorleistung). </w:t>
      </w:r>
      <w:bookmarkStart w:id="7" w:name="_Hlk85820907"/>
      <w:r>
        <w:rPr>
          <w:lang w:val="de-DE"/>
        </w:rPr>
        <w:t xml:space="preserve">Der Wechselrichter erfüllt die für das Netzgebiet erforderlichen Zertifizierungen und CE-Kennzeichnungen. </w:t>
      </w:r>
      <w:bookmarkEnd w:id="7"/>
      <w:r>
        <w:rPr>
          <w:lang w:val="de-DE"/>
        </w:rPr>
        <w:t>Der Wechselrichter erfüllt weiterhin folgend aufgeführte Anforderungen und Merkmale:</w:t>
      </w:r>
    </w:p>
    <w:p w14:paraId="0EC09BE2" w14:textId="5D49FBA6" w:rsidR="00DA2125" w:rsidRDefault="00DA2125" w:rsidP="00DA2125">
      <w:pPr>
        <w:spacing w:after="0" w:line="240" w:lineRule="auto"/>
        <w:rPr>
          <w:lang w:val="de-DE"/>
        </w:rPr>
      </w:pPr>
    </w:p>
    <w:p w14:paraId="4CBFD3AF" w14:textId="03B8FDB3" w:rsidR="00DA2125" w:rsidRPr="00DA2125" w:rsidRDefault="00DA2125" w:rsidP="003472AE">
      <w:pPr>
        <w:pStyle w:val="Bullets"/>
      </w:pPr>
      <w:r w:rsidRPr="00DA2125">
        <w:t>Trafolose Konvertierung von Gleich- in Wechselstrom mit sinusförmigem Ausgangsstrom</w:t>
      </w:r>
    </w:p>
    <w:p w14:paraId="7628C9FF" w14:textId="3AB0E4A5" w:rsidR="00DA2125" w:rsidRPr="00DA2125" w:rsidRDefault="00DA2125" w:rsidP="003472AE">
      <w:pPr>
        <w:pStyle w:val="Bullets"/>
      </w:pPr>
      <w:r w:rsidRPr="00DA2125">
        <w:t>3-phasige Netzeinspeisung</w:t>
      </w:r>
      <w:r w:rsidR="00C331EA">
        <w:t xml:space="preserve"> mit 3 Leitern (3 Phasen) + PE oder 4 Leitern (3 Phasen + N) + PE</w:t>
      </w:r>
    </w:p>
    <w:p w14:paraId="29FF1FFD" w14:textId="13EAC9EB" w:rsidR="0079175A" w:rsidRDefault="00DA2125" w:rsidP="003472AE">
      <w:pPr>
        <w:pStyle w:val="Bullets"/>
      </w:pPr>
      <w:r w:rsidRPr="00DA2125">
        <w:t xml:space="preserve">Wechselrichter ist optimiert für die </w:t>
      </w:r>
      <w:r w:rsidR="00C331EA">
        <w:t>Konvertierung von Gleichstrom des PV-Generators in Wechselstrom</w:t>
      </w:r>
      <w:r w:rsidRPr="00DA2125">
        <w:t xml:space="preserve"> bei </w:t>
      </w:r>
      <w:r w:rsidR="00C331EA">
        <w:t>fester</w:t>
      </w:r>
      <w:r w:rsidRPr="00DA2125">
        <w:t xml:space="preserve"> Strangspannung sowie für eine modulbasierte Leistungsmaximierung</w:t>
      </w:r>
    </w:p>
    <w:p w14:paraId="5A172A44" w14:textId="77777777" w:rsidR="00054835" w:rsidRDefault="0079175A" w:rsidP="003472AE">
      <w:pPr>
        <w:pStyle w:val="Bullets"/>
      </w:pPr>
      <w:r>
        <w:t xml:space="preserve">2 oder 3 Leistungseinheiten </w:t>
      </w:r>
      <w:r w:rsidR="00054835">
        <w:t xml:space="preserve">(einzelne Leistungseinheit mit mindestens 33.3 kW Nennleistung) </w:t>
      </w:r>
      <w:r>
        <w:t xml:space="preserve">mit einer einzelnen Anschlusseinheit </w:t>
      </w:r>
      <w:r w:rsidR="00943245">
        <w:t xml:space="preserve">per steckfertigen Kabeln </w:t>
      </w:r>
      <w:r>
        <w:t xml:space="preserve">kombinierbar. Einzelne Leistungseinheiten im Fehlerfall unabhängig austauschbar. </w:t>
      </w:r>
    </w:p>
    <w:p w14:paraId="2D6B0F60" w14:textId="6B845B86" w:rsidR="00943245" w:rsidRDefault="0079175A" w:rsidP="003472AE">
      <w:pPr>
        <w:pStyle w:val="Bullets"/>
      </w:pPr>
      <w:r>
        <w:t>Gewicht pro Leistungseinheit des Wechselrichters maximal 32 kg, Gewicht der Anschlusseinheit maximal 18 kg.</w:t>
      </w:r>
      <w:r w:rsidR="00054835">
        <w:t xml:space="preserve"> </w:t>
      </w:r>
      <w:r w:rsidR="00943245">
        <w:t xml:space="preserve">Installation mit 2 Personen </w:t>
      </w:r>
      <w:r w:rsidR="00943245" w:rsidRPr="0010457E">
        <w:t xml:space="preserve">ohne </w:t>
      </w:r>
      <w:r w:rsidR="00943245">
        <w:t xml:space="preserve">technische Hilfsmittel (z.B. </w:t>
      </w:r>
      <w:r w:rsidR="00943245" w:rsidRPr="0010457E">
        <w:t>Hebehilfen</w:t>
      </w:r>
      <w:r w:rsidR="00943245">
        <w:t>) möglich</w:t>
      </w:r>
      <w:r w:rsidR="00054835">
        <w:t>.</w:t>
      </w:r>
    </w:p>
    <w:p w14:paraId="69ED2CA0" w14:textId="3230284F" w:rsidR="0079175A" w:rsidRPr="0079175A" w:rsidRDefault="00DB4804" w:rsidP="003472AE">
      <w:pPr>
        <w:pStyle w:val="Bullets"/>
      </w:pPr>
      <w:r>
        <w:t xml:space="preserve">Wechselrichter mit </w:t>
      </w:r>
      <w:r w:rsidR="0079175A" w:rsidRPr="0010457E">
        <w:t>Vorab-</w:t>
      </w:r>
      <w:proofErr w:type="spellStart"/>
      <w:r w:rsidR="0079175A" w:rsidRPr="0010457E">
        <w:t>Inbetriebnahmefunktion</w:t>
      </w:r>
      <w:proofErr w:type="spellEnd"/>
      <w:r w:rsidR="0079175A" w:rsidRPr="0010457E">
        <w:t xml:space="preserve"> zur automatischen Validierung der Systemkomponenten und der </w:t>
      </w:r>
      <w:r w:rsidR="0079175A" w:rsidRPr="0079175A">
        <w:t>Verkabelung während des Installationsprozesses vor Ort und vor dem Anschluss an das Versorgungsnetz</w:t>
      </w:r>
    </w:p>
    <w:p w14:paraId="5E17B2A3" w14:textId="77777777" w:rsidR="00DB4804" w:rsidRDefault="00943245" w:rsidP="003472AE">
      <w:pPr>
        <w:pStyle w:val="Bullets"/>
      </w:pPr>
      <w:r>
        <w:t>Integrierte Temperatursensoren zur Erkennung fehlerhafter Verkabelung an AC- und DC-Anschlüssen</w:t>
      </w:r>
    </w:p>
    <w:p w14:paraId="73CE8D32" w14:textId="78907A9C" w:rsidR="00943245" w:rsidRDefault="00DB4804" w:rsidP="003472AE">
      <w:pPr>
        <w:pStyle w:val="Bullets"/>
      </w:pPr>
      <w:r>
        <w:t>Standardmäßig integrierte Funktion zur PID-Korrektur (</w:t>
      </w:r>
      <w:r w:rsidRPr="00943245">
        <w:t>Potentialinduzierte Degradation</w:t>
      </w:r>
      <w:r>
        <w:t>)</w:t>
      </w:r>
    </w:p>
    <w:p w14:paraId="59BCA396" w14:textId="6C34ED9F" w:rsidR="00DB4804" w:rsidRDefault="00DB4804" w:rsidP="003472AE">
      <w:pPr>
        <w:pStyle w:val="Bullets"/>
      </w:pPr>
      <w:r>
        <w:t xml:space="preserve">Serienmäßig </w:t>
      </w:r>
      <w:r w:rsidRPr="00DA2125">
        <w:t>im Wechselrichter integrierte Lichtbogenerkennung entsprechend UL1699</w:t>
      </w:r>
      <w:r>
        <w:t xml:space="preserve">B:2018. Automatische </w:t>
      </w:r>
      <w:r w:rsidRPr="00DA2125">
        <w:t>Abschaltung</w:t>
      </w:r>
      <w:r>
        <w:t xml:space="preserve"> sowie Wiedereinschaltung aktivierbar</w:t>
      </w:r>
    </w:p>
    <w:p w14:paraId="53857DF8" w14:textId="7E1ABFFC" w:rsidR="0079175A" w:rsidRPr="00D50B38" w:rsidRDefault="0079175A" w:rsidP="003472AE">
      <w:pPr>
        <w:pStyle w:val="Bullets"/>
      </w:pPr>
      <w:r w:rsidRPr="00D50B38">
        <w:t xml:space="preserve">Optional erhältlich mit integriertem, überwachtem AC-Überspannungsschutz Typ 2 (vor Ort nachrüstbar und austauschbar) </w:t>
      </w:r>
    </w:p>
    <w:p w14:paraId="23D9E2AC" w14:textId="77777777" w:rsidR="00DB4804" w:rsidRPr="00D50B38" w:rsidRDefault="00DB4804" w:rsidP="00D50B38">
      <w:pPr>
        <w:rPr>
          <w:lang w:val="de-DE"/>
        </w:rPr>
      </w:pPr>
    </w:p>
    <w:p w14:paraId="71F9E2AB" w14:textId="01420634" w:rsidR="00DB4804" w:rsidRDefault="00DB4804" w:rsidP="003472AE">
      <w:pPr>
        <w:pStyle w:val="Bullets"/>
      </w:pPr>
      <w:r w:rsidRPr="00B10759">
        <w:t>Serienmäßig im Wechselrichter integrierter, überwachter DC-Überspannungsschutz Typ 2 (vor Ort austauschbar)</w:t>
      </w:r>
    </w:p>
    <w:p w14:paraId="7FB02720" w14:textId="1CA9C4E3" w:rsidR="00DB4804" w:rsidRPr="00FB1C94" w:rsidRDefault="00DB4804" w:rsidP="003472AE">
      <w:pPr>
        <w:pStyle w:val="Bullets"/>
      </w:pPr>
      <w:r w:rsidRPr="00DA2125">
        <w:t xml:space="preserve">Mindestens </w:t>
      </w:r>
      <w:r>
        <w:t>4</w:t>
      </w:r>
      <w:r w:rsidRPr="00DA2125">
        <w:t xml:space="preserve"> DC-Eingangspaare</w:t>
      </w:r>
      <w:r>
        <w:t xml:space="preserve"> pro Leistungseinheit mit MC4-Anschlüssen oder mindestens 1 Eingang mit Verschraubung (Leitungspaar) pro Leistungseinheit (Kabeldurchmesser 12-20 mm</w:t>
      </w:r>
      <w:r w:rsidR="002C60FB">
        <w:t>²</w:t>
      </w:r>
      <w:r>
        <w:t xml:space="preserve"> / Leiterquerschnitt bis zu 50 mm²), bei Verschraubung Anschluss von Kupfer- und Aluminiumkabel möglich</w:t>
      </w:r>
    </w:p>
    <w:p w14:paraId="22590DD0" w14:textId="1B651FC2" w:rsidR="0079175A" w:rsidRDefault="0079175A" w:rsidP="003472AE">
      <w:pPr>
        <w:pStyle w:val="Bullets"/>
      </w:pPr>
      <w:proofErr w:type="spellStart"/>
      <w:r>
        <w:t>Verpolungsschutz</w:t>
      </w:r>
      <w:proofErr w:type="spellEnd"/>
      <w:r>
        <w:t xml:space="preserve"> des DC-Einganges und maximale DC-Eingangsspannung von 1000 </w:t>
      </w:r>
      <w:proofErr w:type="spellStart"/>
      <w:r>
        <w:t>Vdc</w:t>
      </w:r>
      <w:proofErr w:type="spellEnd"/>
    </w:p>
    <w:p w14:paraId="1180194A" w14:textId="06246670" w:rsidR="0079175A" w:rsidRPr="0010457E" w:rsidRDefault="0079175A" w:rsidP="003472AE">
      <w:pPr>
        <w:pStyle w:val="Bullets"/>
      </w:pPr>
      <w:r w:rsidRPr="00DA2125">
        <w:t>DC-Leitungslängen von bis zu 700</w:t>
      </w:r>
      <w:r w:rsidR="002C60FB">
        <w:t xml:space="preserve"> </w:t>
      </w:r>
      <w:r w:rsidRPr="00DA2125">
        <w:t>m möglich</w:t>
      </w:r>
    </w:p>
    <w:p w14:paraId="7ABF2768" w14:textId="5D3C9F0B" w:rsidR="00DB4804" w:rsidRDefault="0079175A" w:rsidP="003472AE">
      <w:pPr>
        <w:pStyle w:val="Bullets"/>
      </w:pPr>
      <w:r w:rsidRPr="00DB4804">
        <w:t>Optional erhältlich mit integrierten DC-Strangsicherungen mit 25</w:t>
      </w:r>
      <w:r w:rsidR="002C60FB">
        <w:t xml:space="preserve"> </w:t>
      </w:r>
      <w:r w:rsidRPr="00DB4804">
        <w:t>A</w:t>
      </w:r>
      <w:r w:rsidR="003472AE">
        <w:t xml:space="preserve"> (einpolig)</w:t>
      </w:r>
    </w:p>
    <w:p w14:paraId="11A23825" w14:textId="77777777" w:rsidR="00DB4804" w:rsidRPr="00DA2125" w:rsidRDefault="00DB4804" w:rsidP="003472AE">
      <w:pPr>
        <w:pStyle w:val="Bullets"/>
      </w:pPr>
      <w:r>
        <w:t xml:space="preserve">Der </w:t>
      </w:r>
      <w:r w:rsidRPr="000917B0">
        <w:t xml:space="preserve">Einsatz des Wechselrichtersystems gewährleistet die Konformität mit der Anwendungsrichtlinie VDE-AR-E 2100-712 für das Gesamtsystem aus Wechselrichtern und PV-Generator ohne zusätzliche bauliche oder technische Zusatzmaßnahmen </w:t>
      </w:r>
    </w:p>
    <w:p w14:paraId="51A77D7D" w14:textId="7892DCE5" w:rsidR="00DB4804" w:rsidRPr="0010457E" w:rsidRDefault="00DB4804" w:rsidP="003472AE">
      <w:pPr>
        <w:pStyle w:val="Bullets"/>
      </w:pPr>
      <w:r>
        <w:t>Optional erhältlich mit automatischer Schnellabschaltung der DC-Strangspannung (Rapid Shutdown) bei AC-Netztrennung</w:t>
      </w:r>
    </w:p>
    <w:p w14:paraId="14065517" w14:textId="7D4BB3C8" w:rsidR="0079175A" w:rsidRPr="00DB4804" w:rsidRDefault="0079175A" w:rsidP="003472AE">
      <w:pPr>
        <w:pStyle w:val="Bullets"/>
        <w:numPr>
          <w:ilvl w:val="0"/>
          <w:numId w:val="0"/>
        </w:numPr>
        <w:ind w:left="644"/>
      </w:pPr>
    </w:p>
    <w:p w14:paraId="0EB15616" w14:textId="3B2E655B" w:rsidR="00DA2125" w:rsidRPr="00DA2125" w:rsidRDefault="00DA2125" w:rsidP="003472AE">
      <w:pPr>
        <w:pStyle w:val="Bullets"/>
      </w:pPr>
      <w:r w:rsidRPr="00B77F59">
        <w:t>Integrierter elektronischer DC-Trennschalter gemäß IEC 60947-3:1999 + Corrigendum:1999 + A1:2001 + Corrigendum 1:2001 + A2:2005</w:t>
      </w:r>
      <w:r w:rsidRPr="00DA2125">
        <w:t xml:space="preserve"> inklusive Spannungsreduzierung auf Modulebene; Strangspannung nach Trennung &lt; 120</w:t>
      </w:r>
      <w:r w:rsidR="003472AE">
        <w:t xml:space="preserve"> </w:t>
      </w:r>
      <w:proofErr w:type="spellStart"/>
      <w:r w:rsidRPr="00DA2125">
        <w:t>V</w:t>
      </w:r>
      <w:r w:rsidR="003472AE">
        <w:t>dc</w:t>
      </w:r>
      <w:proofErr w:type="spellEnd"/>
    </w:p>
    <w:p w14:paraId="44404CFA" w14:textId="13902FA2" w:rsidR="00DA2125" w:rsidRDefault="00DA2125" w:rsidP="003472AE">
      <w:pPr>
        <w:pStyle w:val="Bullets"/>
      </w:pPr>
      <w:r w:rsidRPr="00DA2125">
        <w:t xml:space="preserve">Reduktion der Stranggleichspannung (PV-Generator zu Wechselrichter) im Fehlerfall </w:t>
      </w:r>
      <w:r w:rsidR="0079175A">
        <w:t xml:space="preserve">und außerhalb des Anlagenbetriebes (z.B. bei Wartungsarbeiten am PV-Generator) </w:t>
      </w:r>
      <w:r w:rsidRPr="00DA2125">
        <w:t>auf &lt; 120</w:t>
      </w:r>
      <w:r w:rsidR="003472AE">
        <w:t xml:space="preserve"> </w:t>
      </w:r>
      <w:proofErr w:type="spellStart"/>
      <w:r w:rsidRPr="00DA2125">
        <w:t>Vdc</w:t>
      </w:r>
      <w:proofErr w:type="spellEnd"/>
    </w:p>
    <w:p w14:paraId="1E76EB3E" w14:textId="77777777" w:rsidR="000142DF" w:rsidRDefault="000142DF" w:rsidP="003472AE">
      <w:pPr>
        <w:pStyle w:val="Bullets"/>
        <w:numPr>
          <w:ilvl w:val="0"/>
          <w:numId w:val="0"/>
        </w:numPr>
        <w:ind w:left="644"/>
      </w:pPr>
    </w:p>
    <w:p w14:paraId="71D5FB7E" w14:textId="040FA964" w:rsidR="00DA2125" w:rsidRPr="00DA2125" w:rsidRDefault="00DA2125" w:rsidP="003472AE">
      <w:pPr>
        <w:pStyle w:val="Bullets"/>
      </w:pPr>
      <w:r w:rsidRPr="00DA2125">
        <w:t>Serienmäßig integriertes Kommunikationspaket mit Datenlogger, Webserver und Monitoring-Plattform</w:t>
      </w:r>
      <w:r w:rsidR="000917B0">
        <w:t xml:space="preserve">: </w:t>
      </w:r>
      <w:r w:rsidRPr="00DA2125">
        <w:t>Darstellung von Ertragsdaten, Spannungen und Strömen auf Modul-</w:t>
      </w:r>
      <w:r w:rsidR="000917B0">
        <w:t>,</w:t>
      </w:r>
      <w:r w:rsidRPr="00DA2125">
        <w:t xml:space="preserve"> Strang-</w:t>
      </w:r>
      <w:r w:rsidR="000917B0">
        <w:t>,</w:t>
      </w:r>
      <w:r w:rsidRPr="00DA2125">
        <w:t xml:space="preserve"> Wechselrichter- und </w:t>
      </w:r>
      <w:r w:rsidR="000917B0">
        <w:t>Anlagen</w:t>
      </w:r>
      <w:r w:rsidRPr="00DA2125">
        <w:t>ebene inklusive individuell anpassbarem Meldungssystem mit Benachrichtigungsfunktion per E</w:t>
      </w:r>
      <w:r w:rsidR="000917B0">
        <w:t>-M</w:t>
      </w:r>
      <w:r w:rsidRPr="00DA2125">
        <w:t>ail;</w:t>
      </w:r>
      <w:r w:rsidR="000917B0">
        <w:t xml:space="preserve"> </w:t>
      </w:r>
      <w:r w:rsidRPr="00DA2125">
        <w:t>Datenkommunikation modulseitig über DC-Strangleitung</w:t>
      </w:r>
    </w:p>
    <w:p w14:paraId="5FD2F709" w14:textId="18954855" w:rsidR="00413581" w:rsidRDefault="00DA2125" w:rsidP="003472AE">
      <w:pPr>
        <w:pStyle w:val="Bullets"/>
      </w:pPr>
      <w:r w:rsidRPr="00DA2125">
        <w:t>Serienmäßig integrierte Datenschnittstellen Ethernet</w:t>
      </w:r>
      <w:r w:rsidR="00413581">
        <w:t xml:space="preserve"> und</w:t>
      </w:r>
      <w:r w:rsidRPr="00DA2125">
        <w:t xml:space="preserve"> </w:t>
      </w:r>
      <w:r w:rsidR="00302244">
        <w:t>2</w:t>
      </w:r>
      <w:r w:rsidR="003472AE">
        <w:t xml:space="preserve"> </w:t>
      </w:r>
      <w:r w:rsidR="00302244">
        <w:t>x</w:t>
      </w:r>
      <w:r w:rsidR="003472AE">
        <w:t xml:space="preserve"> </w:t>
      </w:r>
      <w:r w:rsidRPr="00DA2125">
        <w:t>RS485</w:t>
      </w:r>
    </w:p>
    <w:p w14:paraId="212F8168" w14:textId="2FD38E16" w:rsidR="0079175A" w:rsidRPr="00ED50A3" w:rsidRDefault="0079175A" w:rsidP="003472AE">
      <w:pPr>
        <w:pStyle w:val="Bullets"/>
      </w:pPr>
      <w:r w:rsidRPr="00ED50A3">
        <w:t xml:space="preserve">Serienmäßig im Wechselrichter integrierter Überspannungsschutz für RS485-Datenverbindung (vor Ort austauschbar) </w:t>
      </w:r>
    </w:p>
    <w:p w14:paraId="501108EA" w14:textId="7DF331CA" w:rsidR="00DA2125" w:rsidRPr="00413581" w:rsidRDefault="00413581" w:rsidP="003472AE">
      <w:pPr>
        <w:pStyle w:val="Bullets"/>
      </w:pPr>
      <w:r>
        <w:t xml:space="preserve">Serienmäßig </w:t>
      </w:r>
      <w:r w:rsidR="00DA2125" w:rsidRPr="00DA2125">
        <w:t xml:space="preserve">8-polige Analogschnittstelle mit 4 Eingängen zum </w:t>
      </w:r>
      <w:r w:rsidR="003472AE">
        <w:t>Einbinden</w:t>
      </w:r>
      <w:r w:rsidR="003472AE" w:rsidRPr="00DA2125">
        <w:t xml:space="preserve"> </w:t>
      </w:r>
      <w:r w:rsidR="00DA2125" w:rsidRPr="00DA2125">
        <w:t xml:space="preserve">von Steuereinheiten </w:t>
      </w:r>
      <w:r>
        <w:t>des Netzbetreibers</w:t>
      </w:r>
      <w:r w:rsidR="00DA2125" w:rsidRPr="00DA2125">
        <w:t xml:space="preserve"> (z.B. Rundsteuerempfänger)</w:t>
      </w:r>
      <w:r>
        <w:t xml:space="preserve">; </w:t>
      </w:r>
      <w:r w:rsidR="00DA2125" w:rsidRPr="00413581">
        <w:t>Direktanschluss eines Rundsteuerempfängers möglich</w:t>
      </w:r>
    </w:p>
    <w:p w14:paraId="388FEB0D" w14:textId="2D415E9B" w:rsidR="00DA2125" w:rsidRPr="00DA2125" w:rsidRDefault="00413581" w:rsidP="003472AE">
      <w:pPr>
        <w:pStyle w:val="Bullets"/>
      </w:pPr>
      <w:r>
        <w:t xml:space="preserve">Serienmäßig </w:t>
      </w:r>
      <w:r w:rsidR="00DA2125" w:rsidRPr="00DA2125">
        <w:t>integrierte</w:t>
      </w:r>
      <w:r>
        <w:t>r</w:t>
      </w:r>
      <w:r w:rsidR="00DA2125" w:rsidRPr="00DA2125">
        <w:t xml:space="preserve"> Kuppelschalter: Direkte Ansteuerung durch </w:t>
      </w:r>
      <w:r>
        <w:t xml:space="preserve">externen </w:t>
      </w:r>
      <w:r w:rsidR="00DA2125" w:rsidRPr="00DA2125">
        <w:t>NA-Schutz möglich</w:t>
      </w:r>
      <w:r>
        <w:t>;</w:t>
      </w:r>
    </w:p>
    <w:p w14:paraId="1D29E8F0" w14:textId="011E589F" w:rsidR="00DA2125" w:rsidRPr="00DA2125" w:rsidRDefault="00DA2125" w:rsidP="003472AE">
      <w:pPr>
        <w:pStyle w:val="Bullets"/>
      </w:pPr>
      <w:r w:rsidRPr="00DA2125">
        <w:t>Optionale Einbindung eines GSM</w:t>
      </w:r>
      <w:r w:rsidR="00413581">
        <w:t>- oder LTE</w:t>
      </w:r>
      <w:r w:rsidRPr="00DA2125">
        <w:t>-Mobilfunkmodems für eine von der Infrastruktur unabhängige Datenübermittlung zur Monitoring-Plattform</w:t>
      </w:r>
    </w:p>
    <w:p w14:paraId="307A7034" w14:textId="5167DD8E" w:rsidR="00943245" w:rsidRPr="00DA2125" w:rsidRDefault="00DA2125" w:rsidP="003472AE">
      <w:pPr>
        <w:pStyle w:val="Bullets"/>
      </w:pPr>
      <w:r w:rsidRPr="00DA2125">
        <w:t>Optionale Einbindung in Brandmeldezentrale über Alarmkontakt und/oder zusätzlichen optionalen NOT-AUS-Schalter in Verbindung mit einer optionalen Schnittstelle</w:t>
      </w:r>
    </w:p>
    <w:p w14:paraId="70F2B8CF" w14:textId="23C3022A" w:rsidR="000917B0" w:rsidRDefault="000917B0" w:rsidP="003472AE">
      <w:pPr>
        <w:pStyle w:val="Bullets"/>
        <w:numPr>
          <w:ilvl w:val="0"/>
          <w:numId w:val="0"/>
        </w:numPr>
        <w:ind w:left="644"/>
      </w:pPr>
    </w:p>
    <w:p w14:paraId="37D26482" w14:textId="647B8E65" w:rsidR="0079175A" w:rsidRPr="0010457E" w:rsidRDefault="0079175A" w:rsidP="003472AE">
      <w:pPr>
        <w:pStyle w:val="Bullets"/>
      </w:pPr>
      <w:r w:rsidRPr="00DA2125">
        <w:t>Standardgarantie 12 Jahre (optional erweiterbar auf bis zu 2</w:t>
      </w:r>
      <w:r>
        <w:t>0</w:t>
      </w:r>
      <w:r w:rsidRPr="00DA2125">
        <w:t xml:space="preserve"> Jahre)</w:t>
      </w:r>
    </w:p>
    <w:p w14:paraId="0030CCEF" w14:textId="767251F2" w:rsidR="00DA2125" w:rsidRPr="00DA2125" w:rsidRDefault="00DA2125" w:rsidP="003472AE">
      <w:pPr>
        <w:pStyle w:val="Bullets"/>
      </w:pPr>
      <w:r w:rsidRPr="00DA2125">
        <w:t>Bauliche Schutzart (mind. IP65) des Wechselrichters erlaubt eine Montage im Gebäude und im Freien ohne zusätzliche bauliche Maßnahmen</w:t>
      </w:r>
    </w:p>
    <w:p w14:paraId="6B979A49" w14:textId="1ABEB4CA" w:rsidR="00943245" w:rsidRDefault="00943245" w:rsidP="003472AE">
      <w:pPr>
        <w:pStyle w:val="Bullets"/>
      </w:pPr>
      <w:r w:rsidRPr="00413581">
        <w:t>Standardmäßige DC-AC-Ratio</w:t>
      </w:r>
      <w:r>
        <w:t xml:space="preserve"> (= </w:t>
      </w:r>
      <w:r w:rsidR="003472AE">
        <w:t>m</w:t>
      </w:r>
      <w:r>
        <w:t>aximale DC-Leistung / AC-Nennleistung)</w:t>
      </w:r>
      <w:r w:rsidRPr="00413581">
        <w:t xml:space="preserve"> von 150</w:t>
      </w:r>
      <w:r w:rsidR="003472AE">
        <w:t xml:space="preserve"> </w:t>
      </w:r>
      <w:r w:rsidRPr="00413581">
        <w:t>% oder größer</w:t>
      </w:r>
      <w:r w:rsidRPr="00DA2125">
        <w:t xml:space="preserve"> </w:t>
      </w:r>
      <w:r>
        <w:t>möglich</w:t>
      </w:r>
    </w:p>
    <w:p w14:paraId="6B3293A3" w14:textId="45A45DA9" w:rsidR="00DA2125" w:rsidRDefault="00DA2125" w:rsidP="003472AE">
      <w:pPr>
        <w:pStyle w:val="Bullets"/>
      </w:pPr>
      <w:r w:rsidRPr="00DA2125">
        <w:t>EU-Wirkungsgrad mind. 98 %, Maximaler Wirkungsgrad mindestens 98,</w:t>
      </w:r>
      <w:r w:rsidR="000917B0">
        <w:t>3</w:t>
      </w:r>
      <w:r w:rsidRPr="00DA2125">
        <w:t xml:space="preserve"> %</w:t>
      </w:r>
    </w:p>
    <w:p w14:paraId="4DA9E719" w14:textId="42BC9446" w:rsidR="00943245" w:rsidRDefault="00943245" w:rsidP="003472AE">
      <w:pPr>
        <w:pStyle w:val="Bullets"/>
      </w:pPr>
      <w:bookmarkStart w:id="8" w:name="_Hlk85820230"/>
      <w:r>
        <w:t>Maximale Ausgangsleistung ohne Leistungsreduzierung bis zu 50</w:t>
      </w:r>
      <w:r w:rsidR="003472AE">
        <w:t xml:space="preserve"> </w:t>
      </w:r>
      <w:r>
        <w:t>°C Umgebungstemperatur</w:t>
      </w:r>
    </w:p>
    <w:bookmarkEnd w:id="8"/>
    <w:p w14:paraId="32601710" w14:textId="3FBEA138" w:rsidR="0079175A" w:rsidRDefault="000917B0" w:rsidP="003472AE">
      <w:pPr>
        <w:pStyle w:val="Bullets"/>
      </w:pPr>
      <w:r>
        <w:t xml:space="preserve">Energieverbrauch nachts maximal </w:t>
      </w:r>
      <w:r w:rsidR="00690209">
        <w:t>8</w:t>
      </w:r>
      <w:r w:rsidR="003472AE">
        <w:t xml:space="preserve"> </w:t>
      </w:r>
      <w:r w:rsidR="00690209">
        <w:t xml:space="preserve">W bzw. maximal 12 </w:t>
      </w:r>
      <w:r>
        <w:t>W</w:t>
      </w:r>
      <w:r w:rsidR="00690209">
        <w:t xml:space="preserve"> (Bei AC-Nennleistung ab 90 kW und höher)</w:t>
      </w:r>
    </w:p>
    <w:p w14:paraId="7976B6E9" w14:textId="7936A6BF" w:rsidR="000917B0" w:rsidRPr="00DA2125" w:rsidRDefault="0079175A" w:rsidP="003472AE">
      <w:pPr>
        <w:pStyle w:val="Bullets"/>
      </w:pPr>
      <w:r>
        <w:t xml:space="preserve">Kühlung </w:t>
      </w:r>
      <w:r w:rsidRPr="00413581">
        <w:t>über austauschbare Lüfter; Geräuschemission maximal 6</w:t>
      </w:r>
      <w:r>
        <w:t>7</w:t>
      </w:r>
      <w:r w:rsidRPr="00413581">
        <w:t xml:space="preserve"> </w:t>
      </w:r>
      <w:proofErr w:type="spellStart"/>
      <w:r w:rsidRPr="00413581">
        <w:t>dBA</w:t>
      </w:r>
      <w:proofErr w:type="spellEnd"/>
      <w:r w:rsidR="00690209">
        <w:t xml:space="preserve"> </w:t>
      </w:r>
    </w:p>
    <w:p w14:paraId="30484A82" w14:textId="77777777" w:rsidR="0047022E" w:rsidRPr="0047022E" w:rsidRDefault="0047022E" w:rsidP="003472AE">
      <w:pPr>
        <w:pStyle w:val="Bullets"/>
        <w:numPr>
          <w:ilvl w:val="0"/>
          <w:numId w:val="0"/>
        </w:numPr>
        <w:ind w:left="284"/>
      </w:pPr>
    </w:p>
    <w:p w14:paraId="0E56B181" w14:textId="7C6E588E" w:rsidR="00DA2125" w:rsidRDefault="00DA2125" w:rsidP="003472AE">
      <w:pPr>
        <w:pStyle w:val="Bullets"/>
      </w:pPr>
      <w:r w:rsidRPr="00DA2125">
        <w:t>Erfüllt RoHS-Richtlinie</w:t>
      </w:r>
    </w:p>
    <w:p w14:paraId="691AC673" w14:textId="6A308E69" w:rsidR="00BC7557" w:rsidRPr="00DA2125" w:rsidRDefault="00BC7557" w:rsidP="003472AE">
      <w:pPr>
        <w:pStyle w:val="Bullets"/>
      </w:pPr>
      <w:r w:rsidRPr="00DA2125">
        <w:t xml:space="preserve">Erfüllt die Sicherheitsanforderungen nach </w:t>
      </w:r>
      <w:r w:rsidRPr="00D50B38">
        <w:t>IEC-62109-1, IEC-62109-2</w:t>
      </w:r>
    </w:p>
    <w:p w14:paraId="433C1766" w14:textId="77777777" w:rsidR="00BC7557" w:rsidRDefault="00BC7557" w:rsidP="003472AE">
      <w:pPr>
        <w:pStyle w:val="Bullets"/>
      </w:pPr>
      <w:r w:rsidRPr="00DA2125">
        <w:t>Konformität mit VDE-AR-N 4105</w:t>
      </w:r>
      <w:r>
        <w:t>:2018-11</w:t>
      </w:r>
      <w:r w:rsidRPr="00DA2125">
        <w:t xml:space="preserve"> (bei Anbindung an Niederspannungsebene), </w:t>
      </w:r>
      <w:r>
        <w:t xml:space="preserve">VDE-AR-N 4110:2018-11 </w:t>
      </w:r>
      <w:r w:rsidRPr="00DA2125">
        <w:t>(bei Anbindung an Mittelspannungsebene)</w:t>
      </w:r>
    </w:p>
    <w:p w14:paraId="1407AD5E" w14:textId="77777777" w:rsidR="00DB4804" w:rsidRDefault="00BC7557" w:rsidP="003472AE">
      <w:pPr>
        <w:pStyle w:val="Bullets"/>
      </w:pPr>
      <w:r>
        <w:t>Konformität mit TOR Erzeuger Typ A und Typ B</w:t>
      </w:r>
    </w:p>
    <w:p w14:paraId="735A73ED" w14:textId="24DAD503" w:rsidR="00BC7557" w:rsidRPr="00BC7557" w:rsidRDefault="00DB4804" w:rsidP="003472AE">
      <w:pPr>
        <w:pStyle w:val="Bullets"/>
      </w:pPr>
      <w:r>
        <w:t xml:space="preserve">Konformität mit </w:t>
      </w:r>
      <w:r w:rsidR="00BC7557" w:rsidRPr="007356A6">
        <w:t>NA/EEA-NE7 – CH 2020</w:t>
      </w:r>
    </w:p>
    <w:p w14:paraId="701E3D10" w14:textId="77777777" w:rsidR="00BC7557" w:rsidRDefault="00BC7557" w:rsidP="003472AE">
      <w:pPr>
        <w:pStyle w:val="Bullets"/>
      </w:pPr>
      <w:r w:rsidRPr="00DA2125">
        <w:t>Konformität mit IEC61000-6-2, IEC61000-6-3</w:t>
      </w:r>
      <w:r>
        <w:t xml:space="preserve"> Klasse A</w:t>
      </w:r>
      <w:r w:rsidRPr="00DA2125">
        <w:t>, IEC61000-3-11, IEC61000-3-12</w:t>
      </w:r>
    </w:p>
    <w:p w14:paraId="6457E4ED" w14:textId="77777777" w:rsidR="00BC7557" w:rsidRDefault="00BC7557" w:rsidP="003472AE">
      <w:pPr>
        <w:pStyle w:val="Bullets"/>
        <w:numPr>
          <w:ilvl w:val="0"/>
          <w:numId w:val="0"/>
        </w:numPr>
        <w:ind w:left="644"/>
      </w:pPr>
    </w:p>
    <w:p w14:paraId="20FA29DB" w14:textId="77777777" w:rsidR="00DA2125" w:rsidRDefault="00DA2125" w:rsidP="00DA2125">
      <w:pPr>
        <w:ind w:left="360"/>
        <w:rPr>
          <w:lang w:val="de-DE"/>
        </w:rPr>
      </w:pPr>
    </w:p>
    <w:p w14:paraId="3824871B" w14:textId="77777777" w:rsidR="00DA2125" w:rsidRDefault="00DA2125" w:rsidP="00DA2125">
      <w:pPr>
        <w:spacing w:line="480" w:lineRule="auto"/>
        <w:ind w:left="360"/>
        <w:rPr>
          <w:lang w:val="de-DE"/>
        </w:rPr>
      </w:pPr>
      <w:r>
        <w:rPr>
          <w:lang w:val="de-DE"/>
        </w:rPr>
        <w:t xml:space="preserve">Hersteller/Typ: </w:t>
      </w:r>
      <w:r>
        <w:rPr>
          <w:lang w:val="de-DE"/>
        </w:rPr>
        <w:tab/>
        <w:t>________________________________________</w:t>
      </w:r>
      <w:r>
        <w:rPr>
          <w:lang w:val="de-DE"/>
        </w:rPr>
        <w:tab/>
        <w:t>(vom Bieter einzutragen)</w:t>
      </w:r>
    </w:p>
    <w:p w14:paraId="6C5FFAC3" w14:textId="2E05F42F" w:rsidR="00DA2125" w:rsidRDefault="00DA2125" w:rsidP="00DA2125">
      <w:pPr>
        <w:spacing w:line="480" w:lineRule="auto"/>
        <w:ind w:left="360"/>
        <w:rPr>
          <w:lang w:val="de-DE"/>
        </w:rPr>
      </w:pPr>
      <w:r>
        <w:rPr>
          <w:lang w:val="de-DE"/>
        </w:rPr>
        <w:t>Maximaler Wirkungsgrad [%]</w:t>
      </w:r>
      <w:r>
        <w:rPr>
          <w:lang w:val="de-DE"/>
        </w:rPr>
        <w:tab/>
        <w:t>____________________________</w:t>
      </w:r>
      <w:r>
        <w:rPr>
          <w:lang w:val="de-DE"/>
        </w:rPr>
        <w:tab/>
      </w:r>
      <w:r w:rsidR="003472AE">
        <w:rPr>
          <w:lang w:val="de-DE"/>
        </w:rPr>
        <w:tab/>
      </w:r>
      <w:r>
        <w:rPr>
          <w:lang w:val="de-DE"/>
        </w:rPr>
        <w:t>(vom Bieter einzutragen)</w:t>
      </w:r>
    </w:p>
    <w:p w14:paraId="3923F085" w14:textId="77777777" w:rsidR="00DA2125" w:rsidRDefault="00DA2125" w:rsidP="00DA2125">
      <w:pPr>
        <w:spacing w:line="480" w:lineRule="auto"/>
        <w:ind w:left="360"/>
        <w:rPr>
          <w:lang w:val="de-DE"/>
        </w:rPr>
      </w:pPr>
      <w:r>
        <w:rPr>
          <w:lang w:val="de-DE"/>
        </w:rPr>
        <w:t>Produktgarantie:</w:t>
      </w:r>
      <w:r>
        <w:rPr>
          <w:lang w:val="de-DE"/>
        </w:rPr>
        <w:tab/>
        <w:t>________________________________________</w:t>
      </w:r>
      <w:r>
        <w:rPr>
          <w:lang w:val="de-DE"/>
        </w:rPr>
        <w:tab/>
        <w:t>(vom Bieter einzutragen)</w:t>
      </w:r>
    </w:p>
    <w:p w14:paraId="32CEE486" w14:textId="77777777" w:rsidR="00DA2125" w:rsidRPr="004B4BA4" w:rsidRDefault="00DA2125" w:rsidP="00DA2125">
      <w:pPr>
        <w:spacing w:line="480" w:lineRule="auto"/>
        <w:ind w:left="360"/>
        <w:rPr>
          <w:lang w:val="de-DE"/>
        </w:rPr>
      </w:pPr>
      <w:r>
        <w:rPr>
          <w:lang w:val="de-DE"/>
        </w:rPr>
        <w:lastRenderedPageBreak/>
        <w:t>____St.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EP __________ €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GP __________ €</w:t>
      </w:r>
    </w:p>
    <w:p w14:paraId="4621CA16" w14:textId="687892ED" w:rsidR="00DA2125" w:rsidRDefault="00DA2125" w:rsidP="00DA2125">
      <w:pPr>
        <w:spacing w:after="0"/>
        <w:rPr>
          <w:lang w:val="de-DE"/>
        </w:rPr>
      </w:pPr>
      <w:r>
        <w:rPr>
          <w:lang w:val="de-DE"/>
        </w:rPr>
        <w:t>Weitere technische Spezifikationen siehe aktuelles Datenblatt:</w:t>
      </w:r>
    </w:p>
    <w:bookmarkEnd w:id="2"/>
    <w:bookmarkEnd w:id="3"/>
    <w:bookmarkEnd w:id="4"/>
    <w:bookmarkEnd w:id="5"/>
    <w:p w14:paraId="15F26BB7" w14:textId="1FE8AFE9" w:rsidR="00AC4785" w:rsidRDefault="00D50B38" w:rsidP="00DA2125">
      <w:pPr>
        <w:spacing w:line="240" w:lineRule="auto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HYPERLINK "</w:instrText>
      </w:r>
      <w:r w:rsidRPr="00D50B38">
        <w:rPr>
          <w:lang w:val="de-DE"/>
        </w:rPr>
        <w:instrText>https://www.solaredge.com/sites/default/files/se-three-phase-inverter-with-synergy-400v-480v-datasheet-de.pdf</w:instrText>
      </w:r>
      <w:r>
        <w:rPr>
          <w:lang w:val="de-DE"/>
        </w:rPr>
        <w:instrText xml:space="preserve">" </w:instrText>
      </w:r>
      <w:r>
        <w:rPr>
          <w:lang w:val="de-DE"/>
        </w:rPr>
        <w:fldChar w:fldCharType="separate"/>
      </w:r>
      <w:r w:rsidRPr="00213C9B">
        <w:rPr>
          <w:rStyle w:val="Hyperlink"/>
          <w:rFonts w:cs="Segoe UI"/>
          <w:lang w:val="de-DE"/>
        </w:rPr>
        <w:t>https://www.solaredge.com/sites/default/files/se-three-phase-inverter-with-synergy-400v-480v-datasheet-de.pdf</w:t>
      </w:r>
      <w:r>
        <w:rPr>
          <w:lang w:val="de-DE"/>
        </w:rPr>
        <w:fldChar w:fldCharType="end"/>
      </w:r>
      <w:r>
        <w:rPr>
          <w:lang w:val="de-DE"/>
        </w:rPr>
        <w:t xml:space="preserve"> </w:t>
      </w:r>
    </w:p>
    <w:p w14:paraId="3CB13132" w14:textId="7D9F6B1A" w:rsidR="00493226" w:rsidRDefault="00493226" w:rsidP="00DA2125">
      <w:pPr>
        <w:spacing w:line="240" w:lineRule="auto"/>
        <w:rPr>
          <w:lang w:val="de-DE"/>
        </w:rPr>
      </w:pPr>
      <w:r w:rsidRPr="00493226">
        <w:rPr>
          <w:lang w:val="de-DE"/>
        </w:rPr>
        <w:t>https://knowledge-center.solaredge.com/sites/kc/files/se-temperature-derating-note.pdf</w:t>
      </w:r>
    </w:p>
    <w:p w14:paraId="09983DFB" w14:textId="77777777" w:rsidR="00AC4785" w:rsidRDefault="00AC4785" w:rsidP="00AC4785">
      <w:pPr>
        <w:rPr>
          <w:b/>
          <w:color w:val="001446"/>
          <w:sz w:val="32"/>
          <w:szCs w:val="22"/>
          <w:lang w:val="de-DE" w:bidi="ar-SA"/>
        </w:rPr>
      </w:pPr>
    </w:p>
    <w:p w14:paraId="78FB546B" w14:textId="77777777" w:rsidR="00AC4785" w:rsidRPr="00DA2125" w:rsidRDefault="00AC4785" w:rsidP="00D50B38">
      <w:pPr>
        <w:rPr>
          <w:lang w:val="de-DE"/>
        </w:rPr>
      </w:pPr>
    </w:p>
    <w:sectPr w:rsidR="00AC4785" w:rsidRPr="00DA2125" w:rsidSect="00BA4142">
      <w:headerReference w:type="default" r:id="rId11"/>
      <w:headerReference w:type="first" r:id="rId12"/>
      <w:type w:val="continuous"/>
      <w:pgSz w:w="11906" w:h="16838" w:code="9"/>
      <w:pgMar w:top="993" w:right="1080" w:bottom="709" w:left="1080" w:header="426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FB64" w14:textId="77777777" w:rsidR="00CD7EBF" w:rsidRDefault="00CD7EBF">
      <w:r>
        <w:separator/>
      </w:r>
    </w:p>
  </w:endnote>
  <w:endnote w:type="continuationSeparator" w:id="0">
    <w:p w14:paraId="2BBCBC3D" w14:textId="77777777" w:rsidR="00CD7EBF" w:rsidRDefault="00CD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53AB" w14:textId="77777777" w:rsidR="00CD7EBF" w:rsidRDefault="00CD7EBF">
      <w:r>
        <w:separator/>
      </w:r>
    </w:p>
  </w:footnote>
  <w:footnote w:type="continuationSeparator" w:id="0">
    <w:p w14:paraId="6B95DC7D" w14:textId="77777777" w:rsidR="00CD7EBF" w:rsidRDefault="00CD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E5D2" w14:textId="77777777" w:rsidR="00EA4571" w:rsidRDefault="00750DA2" w:rsidP="00664CE0">
    <w:pPr>
      <w:pStyle w:val="Kopfzeile"/>
      <w:rPr>
        <w:rtl/>
      </w:rPr>
    </w:pPr>
    <w:r>
      <w:rPr>
        <w:noProof w:val="0"/>
      </w:rPr>
      <w:t xml:space="preserve">  </w:t>
    </w:r>
    <w:r w:rsidR="00524613">
      <w:rPr>
        <w:noProof w:val="0"/>
        <w:color w:val="FF3131"/>
      </w:rPr>
      <w:t xml:space="preserve"> </w:t>
    </w:r>
    <w:r w:rsidR="00524613" w:rsidRPr="00750DA2">
      <w:rPr>
        <w:b/>
        <w:bCs/>
        <w:noProof w:val="0"/>
        <w:color w:val="FF3131"/>
      </w:rPr>
      <w:fldChar w:fldCharType="begin"/>
    </w:r>
    <w:r w:rsidR="00524613" w:rsidRPr="00750DA2">
      <w:rPr>
        <w:b/>
        <w:bCs/>
        <w:color w:val="FF3131"/>
      </w:rPr>
      <w:instrText xml:space="preserve"> PAGE   \* MERGEFORMAT </w:instrText>
    </w:r>
    <w:r w:rsidR="00524613" w:rsidRPr="00750DA2">
      <w:rPr>
        <w:b/>
        <w:bCs/>
        <w:noProof w:val="0"/>
        <w:color w:val="FF3131"/>
      </w:rPr>
      <w:fldChar w:fldCharType="separate"/>
    </w:r>
    <w:r w:rsidR="00196707">
      <w:rPr>
        <w:b/>
        <w:bCs/>
        <w:color w:val="FF3131"/>
      </w:rPr>
      <w:t>2</w:t>
    </w:r>
    <w:r w:rsidR="00524613" w:rsidRPr="00750DA2">
      <w:rPr>
        <w:b/>
        <w:bCs/>
        <w:color w:val="FF3131"/>
      </w:rPr>
      <w:fldChar w:fldCharType="end"/>
    </w:r>
    <w:r w:rsidR="00524613">
      <w:t xml:space="preserve"> </w:t>
    </w:r>
    <w:r w:rsidR="00EA4571">
      <w:drawing>
        <wp:anchor distT="0" distB="0" distL="0" distR="0" simplePos="0" relativeHeight="251662848" behindDoc="1" locked="0" layoutInCell="1" allowOverlap="1" wp14:anchorId="5139F747" wp14:editId="37D03E41">
          <wp:simplePos x="0" y="0"/>
          <wp:positionH relativeFrom="column">
            <wp:posOffset>22860</wp:posOffset>
          </wp:positionH>
          <wp:positionV relativeFrom="paragraph">
            <wp:posOffset>-64770</wp:posOffset>
          </wp:positionV>
          <wp:extent cx="986400" cy="234000"/>
          <wp:effectExtent l="0" t="0" r="4445" b="0"/>
          <wp:wrapTight wrapText="bothSides">
            <wp:wrapPolygon edited="0">
              <wp:start x="0" y="0"/>
              <wp:lineTo x="0" y="19370"/>
              <wp:lineTo x="21280" y="19370"/>
              <wp:lineTo x="2128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23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084160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45F6D" w14:textId="5CA9865F" w:rsidR="00EA4571" w:rsidRPr="00D049BA" w:rsidRDefault="00D70A17" w:rsidP="00524613">
        <w:pPr>
          <w:pStyle w:val="Kopfzeile"/>
        </w:pPr>
        <w:r w:rsidRPr="00D049BA">
          <w:drawing>
            <wp:anchor distT="0" distB="0" distL="114300" distR="114300" simplePos="0" relativeHeight="251664896" behindDoc="0" locked="0" layoutInCell="1" allowOverlap="1" wp14:anchorId="5C3C40CD" wp14:editId="0E8ECF2B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962025" cy="228600"/>
              <wp:effectExtent l="0" t="0" r="9525" b="0"/>
              <wp:wrapSquare wrapText="bothSides"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 w:rsidR="00BD327E">
          <w:rPr>
            <w:noProof w:val="0"/>
          </w:rPr>
          <w:t>Januar</w:t>
        </w:r>
        <w:proofErr w:type="spellEnd"/>
        <w:r>
          <w:rPr>
            <w:noProof w:val="0"/>
          </w:rPr>
          <w:t xml:space="preserve"> </w:t>
        </w:r>
        <w:r w:rsidR="00DD1D34">
          <w:rPr>
            <w:noProof w:val="0"/>
          </w:rPr>
          <w:t>202</w:t>
        </w:r>
        <w:r w:rsidR="00BD327E">
          <w:rPr>
            <w:noProof w:val="0"/>
          </w:rPr>
          <w:t>3</w:t>
        </w:r>
        <w:r w:rsidR="00DD1D34">
          <w:rPr>
            <w:noProof w:val="0"/>
          </w:rPr>
          <w:t xml:space="preserve"> </w:t>
        </w:r>
        <w:r w:rsidR="00524613" w:rsidRPr="00524613">
          <w:rPr>
            <w:noProof w:val="0"/>
            <w:color w:val="FF3131"/>
          </w:rPr>
          <w:fldChar w:fldCharType="begin"/>
        </w:r>
        <w:r w:rsidR="00524613" w:rsidRPr="00524613">
          <w:rPr>
            <w:color w:val="FF3131"/>
          </w:rPr>
          <w:instrText xml:space="preserve"> PAGE   \* MERGEFORMAT </w:instrText>
        </w:r>
        <w:r w:rsidR="00524613" w:rsidRPr="00524613">
          <w:rPr>
            <w:noProof w:val="0"/>
            <w:color w:val="FF3131"/>
          </w:rPr>
          <w:fldChar w:fldCharType="separate"/>
        </w:r>
        <w:r w:rsidR="00196707">
          <w:rPr>
            <w:color w:val="FF3131"/>
          </w:rPr>
          <w:t>1</w:t>
        </w:r>
        <w:r w:rsidR="00524613" w:rsidRPr="00524613">
          <w:rPr>
            <w:color w:val="FF313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Artboard 10100"/>
      </v:shape>
    </w:pict>
  </w:numPicBullet>
  <w:numPicBullet w:numPicBulletId="1">
    <w:pict>
      <v:shape id="_x0000_i1027" type="#_x0000_t75" style="width:16.5pt;height:18.75pt" o:bullet="t">
        <v:imagedata r:id="rId2" o:title="Red_bullet"/>
      </v:shape>
    </w:pict>
  </w:numPicBullet>
  <w:numPicBullet w:numPicBulletId="2">
    <w:pict>
      <v:shape id="_x0000_i1028" type="#_x0000_t75" style="width:11.25pt;height:9.75pt" o:bullet="t">
        <v:imagedata r:id="rId3" o:title="Red_bullet"/>
      </v:shape>
    </w:pict>
  </w:numPicBullet>
  <w:numPicBullet w:numPicBulletId="3">
    <w:pict>
      <v:shape id="_x0000_i1029" type="#_x0000_t75" style="width:13.5pt;height:10.5pt" o:bullet="t">
        <v:imagedata r:id="rId4" o:title="Red_bullet"/>
      </v:shape>
    </w:pict>
  </w:numPicBullet>
  <w:numPicBullet w:numPicBulletId="4">
    <w:pict>
      <v:shape id="_x0000_i1030" type="#_x0000_t75" style="width:14.25pt;height:19.5pt" o:bullet="t">
        <v:imagedata r:id="rId5" o:title="Red_bullet"/>
      </v:shape>
    </w:pict>
  </w:numPicBullet>
  <w:numPicBullet w:numPicBulletId="5">
    <w:pict>
      <v:shape id="_x0000_i1031" type="#_x0000_t75" style="width:14.25pt;height:19.5pt" o:bullet="t">
        <v:imagedata r:id="rId6" o:title="Red_bullet"/>
      </v:shape>
    </w:pict>
  </w:numPicBullet>
  <w:numPicBullet w:numPicBulletId="6">
    <w:pict>
      <v:shape id="_x0000_i1032" type="#_x0000_t75" style="width:44.25pt;height:55.5pt" o:bullet="t">
        <v:imagedata r:id="rId7" o:title="Red_square"/>
      </v:shape>
    </w:pict>
  </w:numPicBullet>
  <w:numPicBullet w:numPicBulletId="7">
    <w:pict>
      <v:shape id="_x0000_i1033" type="#_x0000_t75" style="width:44.25pt;height:55.5pt" o:bullet="t">
        <v:imagedata r:id="rId8" o:title="Red_square"/>
      </v:shape>
    </w:pict>
  </w:numPicBullet>
  <w:numPicBullet w:numPicBulletId="8">
    <w:pict>
      <v:shape id="_x0000_i1034" type="#_x0000_t75" style="width:39pt;height:28.5pt" o:bullet="t">
        <v:imagedata r:id="rId9" o:title="To"/>
      </v:shape>
    </w:pict>
  </w:numPicBullet>
  <w:numPicBullet w:numPicBulletId="9">
    <w:pict>
      <v:shape id="_x0000_i1035" type="#_x0000_t75" style="width:39pt;height:43.5pt" o:bullet="t">
        <v:imagedata r:id="rId10" o:title="To"/>
      </v:shape>
    </w:pict>
  </w:numPicBullet>
  <w:numPicBullet w:numPicBulletId="10">
    <w:pict>
      <v:shape id="_x0000_i1036" type="#_x0000_t75" style="width:45.75pt;height:51.75pt" o:bullet="t">
        <v:imagedata r:id="rId11" o:title="To"/>
      </v:shape>
    </w:pict>
  </w:numPicBullet>
  <w:numPicBullet w:numPicBulletId="11">
    <w:pict>
      <v:shape id="_x0000_i1037" type="#_x0000_t75" style="width:9pt;height:6.75pt" o:bullet="t">
        <v:imagedata r:id="rId12" o:title="Red_bullet"/>
      </v:shape>
    </w:pict>
  </w:numPicBullet>
  <w:numPicBullet w:numPicBulletId="12">
    <w:pict>
      <v:shape id="_x0000_i1038" type="#_x0000_t75" style="width:13.5pt;height:10.5pt" o:bullet="t">
        <v:imagedata r:id="rId13" o:title="Red_bullet"/>
      </v:shape>
    </w:pict>
  </w:numPicBullet>
  <w:numPicBullet w:numPicBulletId="13">
    <w:pict>
      <v:shape id="_x0000_i1039" type="#_x0000_t75" style="width:13.5pt;height:10.5pt" o:bullet="t">
        <v:imagedata r:id="rId14" o:title="Red_bullet"/>
      </v:shape>
    </w:pict>
  </w:numPicBullet>
  <w:numPicBullet w:numPicBulletId="14">
    <w:pict>
      <v:shape id="_x0000_i1040" type="#_x0000_t75" style="width:14.25pt;height:14.25pt" o:bullet="t">
        <v:imagedata r:id="rId15" o:title="Red_bullet"/>
      </v:shape>
    </w:pict>
  </w:numPicBullet>
  <w:numPicBullet w:numPicBulletId="15">
    <w:pict>
      <v:shape id="_x0000_i1041" type="#_x0000_t75" style="width:19.5pt;height:19.5pt" o:bullet="t">
        <v:imagedata r:id="rId16" o:title="Red_bullet"/>
      </v:shape>
    </w:pict>
  </w:numPicBullet>
  <w:numPicBullet w:numPicBulletId="16">
    <w:pict>
      <v:shape id="_x0000_i1042" type="#_x0000_t75" style="width:45.75pt;height:51.75pt" o:bullet="t">
        <v:imagedata r:id="rId17" o:title="To"/>
      </v:shape>
    </w:pict>
  </w:numPicBullet>
  <w:numPicBullet w:numPicBulletId="17">
    <w:pict>
      <v:shape id="_x0000_i1043" type="#_x0000_t75" style="width:30pt;height:21pt" o:bullet="t">
        <v:imagedata r:id="rId18" o:title="Artboard 22100"/>
      </v:shape>
    </w:pict>
  </w:numPicBullet>
  <w:numPicBullet w:numPicBulletId="18">
    <w:pict>
      <v:shape id="_x0000_i1044" type="#_x0000_t75" style="width:8.25pt;height:6pt" o:bullet="t">
        <v:imagedata r:id="rId19" o:title="Artboard 221001"/>
      </v:shape>
    </w:pict>
  </w:numPicBullet>
  <w:numPicBullet w:numPicBulletId="19">
    <w:pict>
      <v:shape id="_x0000_i1045" type="#_x0000_t75" style="width:30pt;height:21pt" o:bullet="t">
        <v:imagedata r:id="rId20" o:title="SolarEdge_Layout_Edge copy1_Page_1"/>
      </v:shape>
    </w:pict>
  </w:numPicBullet>
  <w:numPicBullet w:numPicBulletId="20">
    <w:pict>
      <v:shape id="_x0000_i1046" type="#_x0000_t75" style="width:30pt;height:21pt" o:bullet="t">
        <v:imagedata r:id="rId21" o:title="SolarEdge_Layout_Edge copy1_Page_1"/>
      </v:shape>
    </w:pict>
  </w:numPicBullet>
  <w:numPicBullet w:numPicBulletId="21">
    <w:pict>
      <v:shape id="_x0000_i1047" type="#_x0000_t75" style="width:30pt;height:21pt" o:bullet="t">
        <v:imagedata r:id="rId22" o:title="SolarEdge_Layout_Edge copy1_Page_1"/>
      </v:shape>
    </w:pict>
  </w:numPicBullet>
  <w:abstractNum w:abstractNumId="0" w15:restartNumberingAfterBreak="0">
    <w:nsid w:val="FFFFFF7C"/>
    <w:multiLevelType w:val="singleLevel"/>
    <w:tmpl w:val="926004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98D02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DCF9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F865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A54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44A21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CAE0D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D0A6D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02ED7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FE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3E96"/>
    <w:multiLevelType w:val="hybridMultilevel"/>
    <w:tmpl w:val="09E03738"/>
    <w:lvl w:ilvl="0" w:tplc="63B8E1FC">
      <w:start w:val="1"/>
      <w:numFmt w:val="bullet"/>
      <w:pStyle w:val="BulletinTable"/>
      <w:lvlText w:val=""/>
      <w:lvlJc w:val="left"/>
      <w:pPr>
        <w:ind w:left="360" w:hanging="360"/>
      </w:pPr>
      <w:rPr>
        <w:rFonts w:ascii="Wingdings" w:hAnsi="Wingdings" w:cs="Symbol" w:hint="default"/>
        <w:color w:val="FF3131"/>
        <w:sz w:val="2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25D575C"/>
    <w:multiLevelType w:val="hybridMultilevel"/>
    <w:tmpl w:val="35543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0EB2"/>
    <w:multiLevelType w:val="multilevel"/>
    <w:tmpl w:val="5682387E"/>
    <w:lvl w:ilvl="0">
      <w:start w:val="3"/>
      <w:numFmt w:val="decimal"/>
      <w:suff w:val="nothing"/>
      <w:lvlText w:val="%1"/>
      <w:lvlJc w:val="left"/>
      <w:pPr>
        <w:ind w:left="6840" w:right="6840"/>
      </w:pPr>
      <w:rPr>
        <w:rFonts w:ascii="Arial Black" w:hAnsi="Arial Black" w:cs="Times New Roman" w:hint="default"/>
        <w:color w:val="FFFFFF"/>
        <w:sz w:val="44"/>
      </w:rPr>
    </w:lvl>
    <w:lvl w:ilvl="1">
      <w:start w:val="1"/>
      <w:numFmt w:val="bullet"/>
      <w:lvlText w:val=""/>
      <w:lvlJc w:val="left"/>
      <w:pPr>
        <w:ind w:left="270" w:right="27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suff w:val="nothing"/>
      <w:lvlText w:val="Appendix %9"/>
      <w:lvlJc w:val="left"/>
      <w:rPr>
        <w:rFonts w:ascii="Futura Md BT" w:hAnsi="Futura Md BT" w:cs="Times New Roman" w:hint="default"/>
        <w:b/>
        <w:i w:val="0"/>
        <w:sz w:val="48"/>
      </w:rPr>
    </w:lvl>
  </w:abstractNum>
  <w:abstractNum w:abstractNumId="13" w15:restartNumberingAfterBreak="0">
    <w:nsid w:val="273B45EC"/>
    <w:multiLevelType w:val="multilevel"/>
    <w:tmpl w:val="59C0ABB8"/>
    <w:lvl w:ilvl="0">
      <w:start w:val="1"/>
      <w:numFmt w:val="bullet"/>
      <w:lvlText w:val=""/>
      <w:lvlPicBulletId w:val="0"/>
      <w:lvlJc w:val="left"/>
      <w:pPr>
        <w:ind w:left="390" w:hanging="360"/>
      </w:pPr>
      <w:rPr>
        <w:rFonts w:ascii="Symbol" w:hAnsi="Symbol" w:hint="default"/>
        <w:color w:val="auto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6B21EF"/>
    <w:multiLevelType w:val="hybridMultilevel"/>
    <w:tmpl w:val="6672937E"/>
    <w:lvl w:ilvl="0" w:tplc="490E1E50">
      <w:start w:val="1"/>
      <w:numFmt w:val="decimal"/>
      <w:pStyle w:val="Numbers-manual"/>
      <w:lvlText w:val="%1."/>
      <w:lvlJc w:val="left"/>
      <w:pPr>
        <w:ind w:left="360" w:hanging="360"/>
      </w:pPr>
      <w:rPr>
        <w:rFonts w:ascii="Segoe UI Historic" w:hAnsi="Segoe UI Historic" w:cs="Segoe UI Historic" w:hint="default"/>
        <w:color w:val="auto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37866"/>
    <w:multiLevelType w:val="multilevel"/>
    <w:tmpl w:val="4EA810C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3E50A13"/>
    <w:multiLevelType w:val="hybridMultilevel"/>
    <w:tmpl w:val="5B869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9688A"/>
    <w:multiLevelType w:val="multilevel"/>
    <w:tmpl w:val="98D8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5B7E30"/>
    <w:multiLevelType w:val="multilevel"/>
    <w:tmpl w:val="526EA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313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EC64A1"/>
    <w:multiLevelType w:val="multilevel"/>
    <w:tmpl w:val="51B03B58"/>
    <w:lvl w:ilvl="0">
      <w:start w:val="2"/>
      <w:numFmt w:val="decimal"/>
      <w:suff w:val="nothing"/>
      <w:lvlText w:val="Chapter %1"/>
      <w:lvlJc w:val="left"/>
      <w:rPr>
        <w:rFonts w:cs="Times New Roman" w:hint="default"/>
        <w:sz w:val="4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bersch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pStyle w:val="berschrift9"/>
      <w:suff w:val="nothing"/>
      <w:lvlText w:val="Appendix %9"/>
      <w:lvlJc w:val="left"/>
      <w:pPr>
        <w:ind w:left="240" w:right="240"/>
      </w:pPr>
      <w:rPr>
        <w:rFonts w:ascii="Futura Md BT" w:hAnsi="Futura Md BT" w:cs="Times New Roman" w:hint="default"/>
        <w:b/>
        <w:i w:val="0"/>
        <w:sz w:val="48"/>
      </w:rPr>
    </w:lvl>
  </w:abstractNum>
  <w:abstractNum w:abstractNumId="20" w15:restartNumberingAfterBreak="0">
    <w:nsid w:val="538A2BB6"/>
    <w:multiLevelType w:val="hybridMultilevel"/>
    <w:tmpl w:val="87E003C2"/>
    <w:lvl w:ilvl="0" w:tplc="7FB0F9C0">
      <w:start w:val="1"/>
      <w:numFmt w:val="bullet"/>
      <w:pStyle w:val="To"/>
      <w:lvlText w:val=""/>
      <w:lvlPicBulletId w:val="16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position w:val="-6"/>
        <w:sz w:val="28"/>
      </w:rPr>
    </w:lvl>
    <w:lvl w:ilvl="1" w:tplc="04090019">
      <w:start w:val="1"/>
      <w:numFmt w:val="decimal"/>
      <w:lvlText w:val="%2"/>
      <w:lvlJc w:val="left"/>
      <w:pPr>
        <w:tabs>
          <w:tab w:val="num" w:pos="2188"/>
        </w:tabs>
        <w:ind w:left="2188" w:right="2188" w:hanging="360"/>
      </w:pPr>
      <w:rPr>
        <w:rFonts w:ascii="Futura Md BT" w:hAnsi="Futura Md BT"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right="2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right="3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right="4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right="5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right="5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right="6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right="7228" w:hanging="180"/>
      </w:pPr>
      <w:rPr>
        <w:rFonts w:cs="Times New Roman"/>
      </w:rPr>
    </w:lvl>
  </w:abstractNum>
  <w:abstractNum w:abstractNumId="21" w15:restartNumberingAfterBreak="0">
    <w:nsid w:val="59EC0C9E"/>
    <w:multiLevelType w:val="multilevel"/>
    <w:tmpl w:val="C95082E6"/>
    <w:lvl w:ilvl="0">
      <w:start w:val="1"/>
      <w:numFmt w:val="decimal"/>
      <w:lvlText w:val="%1."/>
      <w:lvlJc w:val="left"/>
      <w:pPr>
        <w:ind w:left="757" w:hanging="360"/>
      </w:pPr>
      <w:rPr>
        <w:rFonts w:ascii="Segoe UI Historic" w:hAnsi="Segoe UI Historic" w:cs="Segoe UI" w:hint="default"/>
        <w:color w:val="FF3131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D49768A"/>
    <w:multiLevelType w:val="hybridMultilevel"/>
    <w:tmpl w:val="D902B6DA"/>
    <w:lvl w:ilvl="0" w:tplc="164257EE">
      <w:start w:val="1"/>
      <w:numFmt w:val="decimal"/>
      <w:lvlText w:val="%1."/>
      <w:lvlJc w:val="left"/>
      <w:pPr>
        <w:ind w:left="1440" w:hanging="360"/>
      </w:pPr>
      <w:rPr>
        <w:rFonts w:ascii="Segoe UI Historic" w:hAnsi="Segoe UI Historic" w:cs="Segoe UI" w:hint="default"/>
        <w:color w:val="FF313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B7457"/>
    <w:multiLevelType w:val="hybridMultilevel"/>
    <w:tmpl w:val="2A92AF4A"/>
    <w:lvl w:ilvl="0" w:tplc="938009D0">
      <w:start w:val="1"/>
      <w:numFmt w:val="lowerLetter"/>
      <w:lvlText w:val="%1."/>
      <w:lvlJc w:val="left"/>
      <w:pPr>
        <w:ind w:left="1440" w:hanging="360"/>
      </w:pPr>
      <w:rPr>
        <w:rFonts w:hint="default"/>
        <w:lang w:val="en-C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C127EA"/>
    <w:multiLevelType w:val="hybridMultilevel"/>
    <w:tmpl w:val="7A707CBC"/>
    <w:lvl w:ilvl="0" w:tplc="CB10B568">
      <w:start w:val="1"/>
      <w:numFmt w:val="bullet"/>
      <w:pStyle w:val="Bullets2"/>
      <w:lvlText w:val=""/>
      <w:lvlJc w:val="left"/>
      <w:pPr>
        <w:ind w:left="717" w:hanging="360"/>
      </w:pPr>
      <w:rPr>
        <w:rFonts w:ascii="Symbol" w:hAnsi="Symbol" w:cs="Symbol" w:hint="default"/>
        <w:color w:val="FF3131"/>
        <w:sz w:val="22"/>
      </w:rPr>
    </w:lvl>
    <w:lvl w:ilvl="1" w:tplc="04090019">
      <w:start w:val="1"/>
      <w:numFmt w:val="bullet"/>
      <w:lvlText w:val="o"/>
      <w:lvlJc w:val="left"/>
      <w:pPr>
        <w:tabs>
          <w:tab w:val="num" w:pos="1376"/>
        </w:tabs>
        <w:ind w:left="1376" w:right="1376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096"/>
        </w:tabs>
        <w:ind w:left="2096" w:right="209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16"/>
        </w:tabs>
        <w:ind w:left="2816" w:right="281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36"/>
        </w:tabs>
        <w:ind w:left="3536" w:right="3536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56"/>
        </w:tabs>
        <w:ind w:left="4256" w:right="425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76"/>
        </w:tabs>
        <w:ind w:left="4976" w:right="497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96"/>
        </w:tabs>
        <w:ind w:left="5696" w:right="5696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16"/>
        </w:tabs>
        <w:ind w:left="6416" w:right="6416" w:hanging="360"/>
      </w:pPr>
      <w:rPr>
        <w:rFonts w:ascii="Wingdings" w:hAnsi="Wingdings" w:hint="default"/>
      </w:rPr>
    </w:lvl>
  </w:abstractNum>
  <w:abstractNum w:abstractNumId="25" w15:restartNumberingAfterBreak="0">
    <w:nsid w:val="6BE03F31"/>
    <w:multiLevelType w:val="hybridMultilevel"/>
    <w:tmpl w:val="EC7AB570"/>
    <w:lvl w:ilvl="0" w:tplc="3432A950">
      <w:start w:val="1"/>
      <w:numFmt w:val="bullet"/>
      <w:pStyle w:val="Bullets"/>
      <w:lvlText w:val=""/>
      <w:lvlPicBulletId w:val="21"/>
      <w:lvlJc w:val="left"/>
      <w:pPr>
        <w:ind w:left="360" w:hanging="360"/>
      </w:pPr>
      <w:rPr>
        <w:rFonts w:ascii="Symbol" w:hAnsi="Symbol" w:cs="Wingdings" w:hint="default"/>
        <w:color w:val="auto"/>
        <w:position w:val="-6"/>
        <w:sz w:val="28"/>
      </w:rPr>
    </w:lvl>
    <w:lvl w:ilvl="1" w:tplc="04090019">
      <w:start w:val="1"/>
      <w:numFmt w:val="bullet"/>
      <w:lvlText w:val=""/>
      <w:lvlJc w:val="left"/>
      <w:pPr>
        <w:tabs>
          <w:tab w:val="num" w:pos="1838"/>
        </w:tabs>
        <w:ind w:left="1838" w:right="2558" w:hanging="360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558"/>
        </w:tabs>
        <w:ind w:left="2558" w:right="327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78"/>
        </w:tabs>
        <w:ind w:left="3278" w:right="399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98"/>
        </w:tabs>
        <w:ind w:left="3998" w:right="471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18"/>
        </w:tabs>
        <w:ind w:left="4718" w:right="543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38"/>
        </w:tabs>
        <w:ind w:left="5438" w:right="615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58"/>
        </w:tabs>
        <w:ind w:left="6158" w:right="687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78"/>
        </w:tabs>
        <w:ind w:left="6878" w:right="7598" w:hanging="360"/>
      </w:pPr>
      <w:rPr>
        <w:rFonts w:ascii="Wingdings" w:hAnsi="Wingdings" w:hint="default"/>
      </w:rPr>
    </w:lvl>
  </w:abstractNum>
  <w:abstractNum w:abstractNumId="26" w15:restartNumberingAfterBreak="0">
    <w:nsid w:val="6D650EB8"/>
    <w:multiLevelType w:val="hybridMultilevel"/>
    <w:tmpl w:val="9A1E1E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131F4"/>
    <w:multiLevelType w:val="hybridMultilevel"/>
    <w:tmpl w:val="CD64135E"/>
    <w:lvl w:ilvl="0" w:tplc="9B4C44CC">
      <w:start w:val="1"/>
      <w:numFmt w:val="lowerLetter"/>
      <w:pStyle w:val="Listenabsatz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D67C2B"/>
    <w:multiLevelType w:val="hybridMultilevel"/>
    <w:tmpl w:val="684C9E36"/>
    <w:lvl w:ilvl="0" w:tplc="1C44B1BC">
      <w:start w:val="1"/>
      <w:numFmt w:val="bullet"/>
      <w:pStyle w:val="Bullets3"/>
      <w:lvlText w:val=""/>
      <w:lvlJc w:val="left"/>
      <w:pPr>
        <w:ind w:left="1134" w:hanging="360"/>
      </w:pPr>
      <w:rPr>
        <w:rFonts w:ascii="Wingdings" w:hAnsi="Wingdings" w:cs="Symbol" w:hint="default"/>
        <w:color w:val="FF3131"/>
        <w:sz w:val="22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20"/>
  </w:num>
  <w:num w:numId="5">
    <w:abstractNumId w:val="24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15"/>
  </w:num>
  <w:num w:numId="26">
    <w:abstractNumId w:val="15"/>
  </w:num>
  <w:num w:numId="27">
    <w:abstractNumId w:val="21"/>
  </w:num>
  <w:num w:numId="28">
    <w:abstractNumId w:val="11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3"/>
  </w:num>
  <w:num w:numId="32">
    <w:abstractNumId w:val="18"/>
  </w:num>
  <w:num w:numId="33">
    <w:abstractNumId w:val="22"/>
  </w:num>
  <w:num w:numId="34">
    <w:abstractNumId w:val="28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27"/>
  </w:num>
  <w:num w:numId="40">
    <w:abstractNumId w:val="16"/>
  </w:num>
  <w:num w:numId="4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styleLockQFSet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c03,#648faa,#cfdde5,#ff4b7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BE"/>
    <w:rsid w:val="00001A5F"/>
    <w:rsid w:val="00001C01"/>
    <w:rsid w:val="00001C1A"/>
    <w:rsid w:val="00002342"/>
    <w:rsid w:val="000038FE"/>
    <w:rsid w:val="00006D1B"/>
    <w:rsid w:val="000142DF"/>
    <w:rsid w:val="00015480"/>
    <w:rsid w:val="00026539"/>
    <w:rsid w:val="00026682"/>
    <w:rsid w:val="00027609"/>
    <w:rsid w:val="00031367"/>
    <w:rsid w:val="0003161A"/>
    <w:rsid w:val="00044BF9"/>
    <w:rsid w:val="000473CD"/>
    <w:rsid w:val="00054835"/>
    <w:rsid w:val="000613EB"/>
    <w:rsid w:val="00062679"/>
    <w:rsid w:val="00066895"/>
    <w:rsid w:val="00070A61"/>
    <w:rsid w:val="00072A42"/>
    <w:rsid w:val="000737BE"/>
    <w:rsid w:val="00075DBE"/>
    <w:rsid w:val="00085D18"/>
    <w:rsid w:val="00085F01"/>
    <w:rsid w:val="0009057C"/>
    <w:rsid w:val="000917B0"/>
    <w:rsid w:val="00095118"/>
    <w:rsid w:val="000A1AE8"/>
    <w:rsid w:val="000A3BEE"/>
    <w:rsid w:val="000B1147"/>
    <w:rsid w:val="000B70E8"/>
    <w:rsid w:val="000C15D3"/>
    <w:rsid w:val="000C17E1"/>
    <w:rsid w:val="000C3048"/>
    <w:rsid w:val="000C75C4"/>
    <w:rsid w:val="000D3FD4"/>
    <w:rsid w:val="000D6154"/>
    <w:rsid w:val="000E5976"/>
    <w:rsid w:val="0010457E"/>
    <w:rsid w:val="0010698B"/>
    <w:rsid w:val="00107123"/>
    <w:rsid w:val="001121B6"/>
    <w:rsid w:val="00114F86"/>
    <w:rsid w:val="001179BA"/>
    <w:rsid w:val="001207AB"/>
    <w:rsid w:val="00123A7A"/>
    <w:rsid w:val="001326B0"/>
    <w:rsid w:val="001357F4"/>
    <w:rsid w:val="00135D37"/>
    <w:rsid w:val="0013737C"/>
    <w:rsid w:val="00140449"/>
    <w:rsid w:val="00144C07"/>
    <w:rsid w:val="0014738C"/>
    <w:rsid w:val="0014780E"/>
    <w:rsid w:val="00150512"/>
    <w:rsid w:val="001512B7"/>
    <w:rsid w:val="0015145D"/>
    <w:rsid w:val="00170248"/>
    <w:rsid w:val="00192A54"/>
    <w:rsid w:val="0019650C"/>
    <w:rsid w:val="00196707"/>
    <w:rsid w:val="001A56F8"/>
    <w:rsid w:val="001B05CE"/>
    <w:rsid w:val="001B2148"/>
    <w:rsid w:val="001B5AAC"/>
    <w:rsid w:val="001C264A"/>
    <w:rsid w:val="001C2F7E"/>
    <w:rsid w:val="001C72F8"/>
    <w:rsid w:val="001C756A"/>
    <w:rsid w:val="001C7F3C"/>
    <w:rsid w:val="001D0401"/>
    <w:rsid w:val="001D6C6D"/>
    <w:rsid w:val="001D798C"/>
    <w:rsid w:val="001D7E06"/>
    <w:rsid w:val="001E163A"/>
    <w:rsid w:val="001E39BE"/>
    <w:rsid w:val="001E634A"/>
    <w:rsid w:val="001F5C3F"/>
    <w:rsid w:val="001F6FBA"/>
    <w:rsid w:val="0020222E"/>
    <w:rsid w:val="00206EC0"/>
    <w:rsid w:val="002138D8"/>
    <w:rsid w:val="002219F1"/>
    <w:rsid w:val="00223698"/>
    <w:rsid w:val="00224470"/>
    <w:rsid w:val="002324A7"/>
    <w:rsid w:val="002332F9"/>
    <w:rsid w:val="00244658"/>
    <w:rsid w:val="00251ABA"/>
    <w:rsid w:val="0025221A"/>
    <w:rsid w:val="0025536A"/>
    <w:rsid w:val="0025554E"/>
    <w:rsid w:val="0026368F"/>
    <w:rsid w:val="002710E7"/>
    <w:rsid w:val="00271A99"/>
    <w:rsid w:val="0028291A"/>
    <w:rsid w:val="002860D6"/>
    <w:rsid w:val="00294A89"/>
    <w:rsid w:val="0029578B"/>
    <w:rsid w:val="0029580A"/>
    <w:rsid w:val="002A30A6"/>
    <w:rsid w:val="002A459F"/>
    <w:rsid w:val="002A7ACD"/>
    <w:rsid w:val="002B1668"/>
    <w:rsid w:val="002B4E8B"/>
    <w:rsid w:val="002C140B"/>
    <w:rsid w:val="002C3865"/>
    <w:rsid w:val="002C3C94"/>
    <w:rsid w:val="002C60FB"/>
    <w:rsid w:val="002C7EC9"/>
    <w:rsid w:val="002E000C"/>
    <w:rsid w:val="002E3432"/>
    <w:rsid w:val="002E4D78"/>
    <w:rsid w:val="002F0685"/>
    <w:rsid w:val="002F0862"/>
    <w:rsid w:val="002F4FBF"/>
    <w:rsid w:val="003002C7"/>
    <w:rsid w:val="00302244"/>
    <w:rsid w:val="0030273C"/>
    <w:rsid w:val="00305371"/>
    <w:rsid w:val="0031090D"/>
    <w:rsid w:val="003208C1"/>
    <w:rsid w:val="00320FF3"/>
    <w:rsid w:val="00321266"/>
    <w:rsid w:val="003229E1"/>
    <w:rsid w:val="0032335A"/>
    <w:rsid w:val="00324435"/>
    <w:rsid w:val="003258DD"/>
    <w:rsid w:val="0032708B"/>
    <w:rsid w:val="003272DF"/>
    <w:rsid w:val="00333119"/>
    <w:rsid w:val="00336E19"/>
    <w:rsid w:val="00336E51"/>
    <w:rsid w:val="003472AE"/>
    <w:rsid w:val="00356ECF"/>
    <w:rsid w:val="00364C8E"/>
    <w:rsid w:val="00372F71"/>
    <w:rsid w:val="003758C5"/>
    <w:rsid w:val="003775C2"/>
    <w:rsid w:val="00380555"/>
    <w:rsid w:val="0038249A"/>
    <w:rsid w:val="00391F58"/>
    <w:rsid w:val="00395AA5"/>
    <w:rsid w:val="00395D25"/>
    <w:rsid w:val="003A1B09"/>
    <w:rsid w:val="003A3B96"/>
    <w:rsid w:val="003A5570"/>
    <w:rsid w:val="003B13E7"/>
    <w:rsid w:val="003B2F89"/>
    <w:rsid w:val="003C7206"/>
    <w:rsid w:val="003C7F1D"/>
    <w:rsid w:val="003D04D4"/>
    <w:rsid w:val="003D2A55"/>
    <w:rsid w:val="003E056C"/>
    <w:rsid w:val="003E6B62"/>
    <w:rsid w:val="003F00ED"/>
    <w:rsid w:val="003F72A7"/>
    <w:rsid w:val="004008D8"/>
    <w:rsid w:val="004019A6"/>
    <w:rsid w:val="004032FF"/>
    <w:rsid w:val="00404B1C"/>
    <w:rsid w:val="004053FB"/>
    <w:rsid w:val="00410ECB"/>
    <w:rsid w:val="00413581"/>
    <w:rsid w:val="004174CD"/>
    <w:rsid w:val="00420936"/>
    <w:rsid w:val="00424174"/>
    <w:rsid w:val="00427D78"/>
    <w:rsid w:val="004314A5"/>
    <w:rsid w:val="00432EA4"/>
    <w:rsid w:val="00433D16"/>
    <w:rsid w:val="004351E7"/>
    <w:rsid w:val="00437CC3"/>
    <w:rsid w:val="00440DE8"/>
    <w:rsid w:val="004413E5"/>
    <w:rsid w:val="00446E1D"/>
    <w:rsid w:val="00454E5A"/>
    <w:rsid w:val="00457CB9"/>
    <w:rsid w:val="004616B4"/>
    <w:rsid w:val="004630D2"/>
    <w:rsid w:val="00464F4F"/>
    <w:rsid w:val="00466FFF"/>
    <w:rsid w:val="0047022E"/>
    <w:rsid w:val="00476407"/>
    <w:rsid w:val="00476540"/>
    <w:rsid w:val="004807B3"/>
    <w:rsid w:val="004833B7"/>
    <w:rsid w:val="00493226"/>
    <w:rsid w:val="00497260"/>
    <w:rsid w:val="004972F5"/>
    <w:rsid w:val="00497803"/>
    <w:rsid w:val="004A0C2B"/>
    <w:rsid w:val="004A3C98"/>
    <w:rsid w:val="004A6A0E"/>
    <w:rsid w:val="004C0438"/>
    <w:rsid w:val="004C3ADF"/>
    <w:rsid w:val="004D131E"/>
    <w:rsid w:val="004D4C1B"/>
    <w:rsid w:val="004D5D3A"/>
    <w:rsid w:val="004D7479"/>
    <w:rsid w:val="004E01A6"/>
    <w:rsid w:val="004F1547"/>
    <w:rsid w:val="005062D7"/>
    <w:rsid w:val="00507593"/>
    <w:rsid w:val="005112E6"/>
    <w:rsid w:val="0051292C"/>
    <w:rsid w:val="005172C5"/>
    <w:rsid w:val="00521476"/>
    <w:rsid w:val="00524613"/>
    <w:rsid w:val="00533ED1"/>
    <w:rsid w:val="00535F25"/>
    <w:rsid w:val="005365EC"/>
    <w:rsid w:val="0053736B"/>
    <w:rsid w:val="00540602"/>
    <w:rsid w:val="005441D6"/>
    <w:rsid w:val="00560C7C"/>
    <w:rsid w:val="0056266E"/>
    <w:rsid w:val="00563B4B"/>
    <w:rsid w:val="0056538D"/>
    <w:rsid w:val="005654B7"/>
    <w:rsid w:val="005662DE"/>
    <w:rsid w:val="00594190"/>
    <w:rsid w:val="00596B98"/>
    <w:rsid w:val="005A2D2D"/>
    <w:rsid w:val="005A5658"/>
    <w:rsid w:val="005A7E4D"/>
    <w:rsid w:val="005B286C"/>
    <w:rsid w:val="005B2E8D"/>
    <w:rsid w:val="005B5920"/>
    <w:rsid w:val="005B5C54"/>
    <w:rsid w:val="005B60BE"/>
    <w:rsid w:val="005C16B5"/>
    <w:rsid w:val="005C1D03"/>
    <w:rsid w:val="005D239A"/>
    <w:rsid w:val="005D49EF"/>
    <w:rsid w:val="005D7675"/>
    <w:rsid w:val="005D77A6"/>
    <w:rsid w:val="005E2E63"/>
    <w:rsid w:val="005E3072"/>
    <w:rsid w:val="005E766E"/>
    <w:rsid w:val="005F78DC"/>
    <w:rsid w:val="0060729F"/>
    <w:rsid w:val="00611CBE"/>
    <w:rsid w:val="00616092"/>
    <w:rsid w:val="0061700C"/>
    <w:rsid w:val="00617EB2"/>
    <w:rsid w:val="00620665"/>
    <w:rsid w:val="006218B9"/>
    <w:rsid w:val="0063264D"/>
    <w:rsid w:val="00644796"/>
    <w:rsid w:val="00645A0E"/>
    <w:rsid w:val="00645A3F"/>
    <w:rsid w:val="00646177"/>
    <w:rsid w:val="00651274"/>
    <w:rsid w:val="00656A3E"/>
    <w:rsid w:val="0065718B"/>
    <w:rsid w:val="00661187"/>
    <w:rsid w:val="00661DD5"/>
    <w:rsid w:val="00664CE0"/>
    <w:rsid w:val="00686619"/>
    <w:rsid w:val="00690209"/>
    <w:rsid w:val="006957BA"/>
    <w:rsid w:val="00696BBA"/>
    <w:rsid w:val="006A3CE0"/>
    <w:rsid w:val="006A67C8"/>
    <w:rsid w:val="006B4FC6"/>
    <w:rsid w:val="006C292B"/>
    <w:rsid w:val="006D066A"/>
    <w:rsid w:val="006D2C3D"/>
    <w:rsid w:val="006D7490"/>
    <w:rsid w:val="006E0938"/>
    <w:rsid w:val="006E4DC9"/>
    <w:rsid w:val="006E5422"/>
    <w:rsid w:val="006E5C45"/>
    <w:rsid w:val="006F3198"/>
    <w:rsid w:val="006F3E0B"/>
    <w:rsid w:val="006F7B23"/>
    <w:rsid w:val="00706772"/>
    <w:rsid w:val="007067EC"/>
    <w:rsid w:val="007102E1"/>
    <w:rsid w:val="00714440"/>
    <w:rsid w:val="00724222"/>
    <w:rsid w:val="00743BA5"/>
    <w:rsid w:val="00747279"/>
    <w:rsid w:val="00750DA2"/>
    <w:rsid w:val="0075107C"/>
    <w:rsid w:val="00767335"/>
    <w:rsid w:val="00773162"/>
    <w:rsid w:val="007731F5"/>
    <w:rsid w:val="0078678C"/>
    <w:rsid w:val="00787315"/>
    <w:rsid w:val="00787DD0"/>
    <w:rsid w:val="0079175A"/>
    <w:rsid w:val="00796151"/>
    <w:rsid w:val="007A02A8"/>
    <w:rsid w:val="007B388A"/>
    <w:rsid w:val="007B3C26"/>
    <w:rsid w:val="007C150D"/>
    <w:rsid w:val="007C32E0"/>
    <w:rsid w:val="007C705C"/>
    <w:rsid w:val="007E2B3B"/>
    <w:rsid w:val="007E30EB"/>
    <w:rsid w:val="007E3646"/>
    <w:rsid w:val="007E59E1"/>
    <w:rsid w:val="007F0D9A"/>
    <w:rsid w:val="007F5771"/>
    <w:rsid w:val="007F58D3"/>
    <w:rsid w:val="007F6B9E"/>
    <w:rsid w:val="00805C15"/>
    <w:rsid w:val="0080735C"/>
    <w:rsid w:val="008108BE"/>
    <w:rsid w:val="0081245B"/>
    <w:rsid w:val="00817CD8"/>
    <w:rsid w:val="0083562C"/>
    <w:rsid w:val="008359FB"/>
    <w:rsid w:val="008511A3"/>
    <w:rsid w:val="0085511C"/>
    <w:rsid w:val="008613C6"/>
    <w:rsid w:val="008614E7"/>
    <w:rsid w:val="00871FC7"/>
    <w:rsid w:val="00874250"/>
    <w:rsid w:val="008847E2"/>
    <w:rsid w:val="008862B1"/>
    <w:rsid w:val="008912E2"/>
    <w:rsid w:val="00892D83"/>
    <w:rsid w:val="008A3685"/>
    <w:rsid w:val="008A4020"/>
    <w:rsid w:val="008B2568"/>
    <w:rsid w:val="008B2ED3"/>
    <w:rsid w:val="008C7D23"/>
    <w:rsid w:val="008D71E5"/>
    <w:rsid w:val="008D7C50"/>
    <w:rsid w:val="008E0182"/>
    <w:rsid w:val="008E184C"/>
    <w:rsid w:val="008E3C6E"/>
    <w:rsid w:val="008E5BCC"/>
    <w:rsid w:val="008E7CBE"/>
    <w:rsid w:val="008F190C"/>
    <w:rsid w:val="008F433C"/>
    <w:rsid w:val="009026BD"/>
    <w:rsid w:val="0090317F"/>
    <w:rsid w:val="00903A9C"/>
    <w:rsid w:val="009055C9"/>
    <w:rsid w:val="00914A2D"/>
    <w:rsid w:val="00917D9D"/>
    <w:rsid w:val="00917F4F"/>
    <w:rsid w:val="00922649"/>
    <w:rsid w:val="00923539"/>
    <w:rsid w:val="00925CE9"/>
    <w:rsid w:val="00931E1C"/>
    <w:rsid w:val="00935C73"/>
    <w:rsid w:val="00937578"/>
    <w:rsid w:val="00941A6E"/>
    <w:rsid w:val="00943245"/>
    <w:rsid w:val="00945004"/>
    <w:rsid w:val="009467FE"/>
    <w:rsid w:val="00946EEF"/>
    <w:rsid w:val="00955023"/>
    <w:rsid w:val="00957D9F"/>
    <w:rsid w:val="00963E6C"/>
    <w:rsid w:val="009679A8"/>
    <w:rsid w:val="00977379"/>
    <w:rsid w:val="00977DF4"/>
    <w:rsid w:val="00981649"/>
    <w:rsid w:val="00982405"/>
    <w:rsid w:val="009848E3"/>
    <w:rsid w:val="00985714"/>
    <w:rsid w:val="00992359"/>
    <w:rsid w:val="009975FF"/>
    <w:rsid w:val="009A394E"/>
    <w:rsid w:val="009B2AEE"/>
    <w:rsid w:val="009B792F"/>
    <w:rsid w:val="009C2CB8"/>
    <w:rsid w:val="009C6293"/>
    <w:rsid w:val="009D094A"/>
    <w:rsid w:val="009E2073"/>
    <w:rsid w:val="009E7A15"/>
    <w:rsid w:val="009E7D3D"/>
    <w:rsid w:val="009F4035"/>
    <w:rsid w:val="00A033A1"/>
    <w:rsid w:val="00A07834"/>
    <w:rsid w:val="00A10D6C"/>
    <w:rsid w:val="00A130D5"/>
    <w:rsid w:val="00A17207"/>
    <w:rsid w:val="00A24FE6"/>
    <w:rsid w:val="00A3004A"/>
    <w:rsid w:val="00A347AE"/>
    <w:rsid w:val="00A35DD0"/>
    <w:rsid w:val="00A411B9"/>
    <w:rsid w:val="00A43E5D"/>
    <w:rsid w:val="00A44645"/>
    <w:rsid w:val="00A47380"/>
    <w:rsid w:val="00A5184B"/>
    <w:rsid w:val="00A52176"/>
    <w:rsid w:val="00A535A3"/>
    <w:rsid w:val="00A54C2A"/>
    <w:rsid w:val="00A554A6"/>
    <w:rsid w:val="00A55632"/>
    <w:rsid w:val="00A57AFF"/>
    <w:rsid w:val="00A57E5A"/>
    <w:rsid w:val="00A75B7F"/>
    <w:rsid w:val="00A91DAD"/>
    <w:rsid w:val="00A93C7F"/>
    <w:rsid w:val="00A978D1"/>
    <w:rsid w:val="00AA0DFE"/>
    <w:rsid w:val="00AA1100"/>
    <w:rsid w:val="00AA2C61"/>
    <w:rsid w:val="00AA37DD"/>
    <w:rsid w:val="00AA6996"/>
    <w:rsid w:val="00AB45F1"/>
    <w:rsid w:val="00AB6644"/>
    <w:rsid w:val="00AC0C35"/>
    <w:rsid w:val="00AC4785"/>
    <w:rsid w:val="00AC48F1"/>
    <w:rsid w:val="00AC7B55"/>
    <w:rsid w:val="00AD0EA2"/>
    <w:rsid w:val="00AD24C0"/>
    <w:rsid w:val="00AD4F4D"/>
    <w:rsid w:val="00AD5283"/>
    <w:rsid w:val="00AD7008"/>
    <w:rsid w:val="00AE2ED9"/>
    <w:rsid w:val="00AE349D"/>
    <w:rsid w:val="00AE5109"/>
    <w:rsid w:val="00AE58E4"/>
    <w:rsid w:val="00AF41E2"/>
    <w:rsid w:val="00AF5D22"/>
    <w:rsid w:val="00B040C4"/>
    <w:rsid w:val="00B115B2"/>
    <w:rsid w:val="00B132E3"/>
    <w:rsid w:val="00B13459"/>
    <w:rsid w:val="00B1441E"/>
    <w:rsid w:val="00B211A9"/>
    <w:rsid w:val="00B21F08"/>
    <w:rsid w:val="00B23C5A"/>
    <w:rsid w:val="00B243AC"/>
    <w:rsid w:val="00B40A8A"/>
    <w:rsid w:val="00B446E1"/>
    <w:rsid w:val="00B46B55"/>
    <w:rsid w:val="00B46F1B"/>
    <w:rsid w:val="00B51362"/>
    <w:rsid w:val="00B51B9E"/>
    <w:rsid w:val="00B53270"/>
    <w:rsid w:val="00B542A7"/>
    <w:rsid w:val="00B55A0A"/>
    <w:rsid w:val="00B60899"/>
    <w:rsid w:val="00B60EF3"/>
    <w:rsid w:val="00B77CA6"/>
    <w:rsid w:val="00B77F59"/>
    <w:rsid w:val="00B80B81"/>
    <w:rsid w:val="00B8329C"/>
    <w:rsid w:val="00B83514"/>
    <w:rsid w:val="00B83A7A"/>
    <w:rsid w:val="00B86901"/>
    <w:rsid w:val="00B900D6"/>
    <w:rsid w:val="00B97847"/>
    <w:rsid w:val="00BA0063"/>
    <w:rsid w:val="00BA0E91"/>
    <w:rsid w:val="00BA4142"/>
    <w:rsid w:val="00BA727E"/>
    <w:rsid w:val="00BA79FE"/>
    <w:rsid w:val="00BB09FE"/>
    <w:rsid w:val="00BB6D2D"/>
    <w:rsid w:val="00BB74CB"/>
    <w:rsid w:val="00BB7FCE"/>
    <w:rsid w:val="00BC31CA"/>
    <w:rsid w:val="00BC57D1"/>
    <w:rsid w:val="00BC7557"/>
    <w:rsid w:val="00BD327E"/>
    <w:rsid w:val="00BE3BDD"/>
    <w:rsid w:val="00BE4305"/>
    <w:rsid w:val="00BE64FC"/>
    <w:rsid w:val="00BF0450"/>
    <w:rsid w:val="00BF322C"/>
    <w:rsid w:val="00BF51A4"/>
    <w:rsid w:val="00BF7CA8"/>
    <w:rsid w:val="00C10E4A"/>
    <w:rsid w:val="00C14425"/>
    <w:rsid w:val="00C14A77"/>
    <w:rsid w:val="00C2340E"/>
    <w:rsid w:val="00C2459A"/>
    <w:rsid w:val="00C24FFB"/>
    <w:rsid w:val="00C25700"/>
    <w:rsid w:val="00C31C13"/>
    <w:rsid w:val="00C331EA"/>
    <w:rsid w:val="00C3332A"/>
    <w:rsid w:val="00C3712B"/>
    <w:rsid w:val="00C41E73"/>
    <w:rsid w:val="00C439FD"/>
    <w:rsid w:val="00C45190"/>
    <w:rsid w:val="00C467DD"/>
    <w:rsid w:val="00C4784D"/>
    <w:rsid w:val="00C50C34"/>
    <w:rsid w:val="00C74A2B"/>
    <w:rsid w:val="00C74C69"/>
    <w:rsid w:val="00C74EC7"/>
    <w:rsid w:val="00C754FE"/>
    <w:rsid w:val="00C760A8"/>
    <w:rsid w:val="00C76714"/>
    <w:rsid w:val="00C83D6A"/>
    <w:rsid w:val="00C83E63"/>
    <w:rsid w:val="00C9627F"/>
    <w:rsid w:val="00CA0C96"/>
    <w:rsid w:val="00CA23DC"/>
    <w:rsid w:val="00CB1E21"/>
    <w:rsid w:val="00CC0A0A"/>
    <w:rsid w:val="00CC59BC"/>
    <w:rsid w:val="00CD774E"/>
    <w:rsid w:val="00CD7A15"/>
    <w:rsid w:val="00CD7EBF"/>
    <w:rsid w:val="00CE08C0"/>
    <w:rsid w:val="00CE733E"/>
    <w:rsid w:val="00CF204F"/>
    <w:rsid w:val="00CF2122"/>
    <w:rsid w:val="00CF2293"/>
    <w:rsid w:val="00CF392D"/>
    <w:rsid w:val="00CF5148"/>
    <w:rsid w:val="00D049BA"/>
    <w:rsid w:val="00D05FC2"/>
    <w:rsid w:val="00D1531F"/>
    <w:rsid w:val="00D15926"/>
    <w:rsid w:val="00D23080"/>
    <w:rsid w:val="00D2489D"/>
    <w:rsid w:val="00D30CE2"/>
    <w:rsid w:val="00D33737"/>
    <w:rsid w:val="00D37ADD"/>
    <w:rsid w:val="00D40B5C"/>
    <w:rsid w:val="00D42F05"/>
    <w:rsid w:val="00D45287"/>
    <w:rsid w:val="00D50B38"/>
    <w:rsid w:val="00D55187"/>
    <w:rsid w:val="00D67623"/>
    <w:rsid w:val="00D70A17"/>
    <w:rsid w:val="00D73674"/>
    <w:rsid w:val="00D930A2"/>
    <w:rsid w:val="00D93F47"/>
    <w:rsid w:val="00D959A6"/>
    <w:rsid w:val="00D95C0E"/>
    <w:rsid w:val="00DA2125"/>
    <w:rsid w:val="00DA3D6A"/>
    <w:rsid w:val="00DB229E"/>
    <w:rsid w:val="00DB4804"/>
    <w:rsid w:val="00DD1D34"/>
    <w:rsid w:val="00DD56D1"/>
    <w:rsid w:val="00DE28AD"/>
    <w:rsid w:val="00DE554F"/>
    <w:rsid w:val="00DE7F3F"/>
    <w:rsid w:val="00DF0366"/>
    <w:rsid w:val="00DF598C"/>
    <w:rsid w:val="00E060BE"/>
    <w:rsid w:val="00E1331A"/>
    <w:rsid w:val="00E207BE"/>
    <w:rsid w:val="00E2410D"/>
    <w:rsid w:val="00E26692"/>
    <w:rsid w:val="00E4141A"/>
    <w:rsid w:val="00E41505"/>
    <w:rsid w:val="00E42F92"/>
    <w:rsid w:val="00E4598C"/>
    <w:rsid w:val="00E5632B"/>
    <w:rsid w:val="00E60ABC"/>
    <w:rsid w:val="00E64E97"/>
    <w:rsid w:val="00E657FD"/>
    <w:rsid w:val="00E80942"/>
    <w:rsid w:val="00E878E5"/>
    <w:rsid w:val="00E92069"/>
    <w:rsid w:val="00E94BE8"/>
    <w:rsid w:val="00E97E7B"/>
    <w:rsid w:val="00EA333A"/>
    <w:rsid w:val="00EA4571"/>
    <w:rsid w:val="00EA78F4"/>
    <w:rsid w:val="00EB3D9F"/>
    <w:rsid w:val="00EB4C4A"/>
    <w:rsid w:val="00EC0B72"/>
    <w:rsid w:val="00ED1DF7"/>
    <w:rsid w:val="00ED4313"/>
    <w:rsid w:val="00ED50A3"/>
    <w:rsid w:val="00EE14EF"/>
    <w:rsid w:val="00EE54CD"/>
    <w:rsid w:val="00EF4A16"/>
    <w:rsid w:val="00F00773"/>
    <w:rsid w:val="00F0277F"/>
    <w:rsid w:val="00F029FB"/>
    <w:rsid w:val="00F0301C"/>
    <w:rsid w:val="00F11092"/>
    <w:rsid w:val="00F31482"/>
    <w:rsid w:val="00F31AD3"/>
    <w:rsid w:val="00F32207"/>
    <w:rsid w:val="00F43DE5"/>
    <w:rsid w:val="00F52306"/>
    <w:rsid w:val="00F56D96"/>
    <w:rsid w:val="00F57780"/>
    <w:rsid w:val="00F61032"/>
    <w:rsid w:val="00F64F8C"/>
    <w:rsid w:val="00F668B6"/>
    <w:rsid w:val="00F66D09"/>
    <w:rsid w:val="00F677CE"/>
    <w:rsid w:val="00F76E68"/>
    <w:rsid w:val="00F83CCE"/>
    <w:rsid w:val="00F844E1"/>
    <w:rsid w:val="00F8493D"/>
    <w:rsid w:val="00F9009C"/>
    <w:rsid w:val="00F9200A"/>
    <w:rsid w:val="00F95628"/>
    <w:rsid w:val="00F96900"/>
    <w:rsid w:val="00FA13AC"/>
    <w:rsid w:val="00FA2D01"/>
    <w:rsid w:val="00FA7A4E"/>
    <w:rsid w:val="00FB1C94"/>
    <w:rsid w:val="00FC424F"/>
    <w:rsid w:val="00FC5C29"/>
    <w:rsid w:val="00FD206B"/>
    <w:rsid w:val="00FD634E"/>
    <w:rsid w:val="00FD7EB4"/>
    <w:rsid w:val="00FE5D58"/>
    <w:rsid w:val="00FE7A63"/>
    <w:rsid w:val="00FF0338"/>
    <w:rsid w:val="00FF08AF"/>
    <w:rsid w:val="00FF21AC"/>
    <w:rsid w:val="00FF4C67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c03,#648faa,#cfdde5,#ff4b76"/>
    </o:shapedefaults>
    <o:shapelayout v:ext="edit">
      <o:idmap v:ext="edit" data="1"/>
    </o:shapelayout>
  </w:shapeDefaults>
  <w:decimalSymbol w:val=","/>
  <w:listSeparator w:val=";"/>
  <w14:docId w14:val="701959CC"/>
  <w15:docId w15:val="{F4EBB2A3-3314-4531-B808-4A187169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MS Mincho" w:hAnsi="Segoe UI" w:cs="Segoe U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D37ADD"/>
    <w:pPr>
      <w:textboxTightWrap w:val="allLines"/>
    </w:pPr>
    <w:rPr>
      <w:rFonts w:ascii="Segoe UI Historic" w:hAnsi="Segoe UI Historic"/>
      <w:sz w:val="18"/>
      <w:szCs w:val="18"/>
    </w:rPr>
  </w:style>
  <w:style w:type="paragraph" w:styleId="berschrift1">
    <w:name w:val="heading 1"/>
    <w:next w:val="Standard"/>
    <w:autoRedefine/>
    <w:qFormat/>
    <w:locked/>
    <w:rsid w:val="00D50B38"/>
    <w:pPr>
      <w:outlineLvl w:val="0"/>
    </w:pPr>
    <w:rPr>
      <w:rFonts w:ascii="Segoe UI Historic" w:hAnsi="Segoe UI Historic"/>
      <w:b/>
      <w:color w:val="001446"/>
      <w:sz w:val="32"/>
      <w:lang w:bidi="ar-SA"/>
    </w:rPr>
  </w:style>
  <w:style w:type="paragraph" w:styleId="berschrift2">
    <w:name w:val="heading 2"/>
    <w:basedOn w:val="Standard"/>
    <w:next w:val="Standard"/>
    <w:autoRedefine/>
    <w:qFormat/>
    <w:locked/>
    <w:rsid w:val="00027609"/>
    <w:pPr>
      <w:keepNext/>
      <w:spacing w:before="280" w:after="80" w:line="240" w:lineRule="auto"/>
      <w:outlineLvl w:val="1"/>
    </w:pPr>
    <w:rPr>
      <w:rFonts w:eastAsia="Times New Roman"/>
      <w:b/>
      <w:bCs/>
      <w:color w:val="FF3131"/>
      <w:sz w:val="28"/>
      <w:szCs w:val="28"/>
      <w:lang w:eastAsia="fr-FR"/>
    </w:rPr>
  </w:style>
  <w:style w:type="paragraph" w:styleId="berschrift3">
    <w:name w:val="heading 3"/>
    <w:next w:val="Standard"/>
    <w:autoRedefine/>
    <w:qFormat/>
    <w:locked/>
    <w:rsid w:val="00696BBA"/>
    <w:pPr>
      <w:keepNext/>
      <w:tabs>
        <w:tab w:val="num" w:pos="2096"/>
      </w:tabs>
      <w:spacing w:before="240"/>
      <w:outlineLvl w:val="2"/>
    </w:pPr>
    <w:rPr>
      <w:rFonts w:ascii="Segoe UI Historic" w:eastAsia="Batang" w:hAnsi="Segoe UI Historic"/>
      <w:b/>
      <w:bCs/>
      <w:color w:val="001446"/>
      <w:sz w:val="24"/>
      <w:szCs w:val="24"/>
      <w:lang w:eastAsia="ko-KR" w:bidi="ar-SA"/>
    </w:rPr>
  </w:style>
  <w:style w:type="paragraph" w:styleId="berschrift4">
    <w:name w:val="heading 4"/>
    <w:basedOn w:val="berschrift3"/>
    <w:next w:val="Standard"/>
    <w:link w:val="berschrift4Zchn"/>
    <w:autoRedefine/>
    <w:qFormat/>
    <w:locked/>
    <w:rsid w:val="00696BBA"/>
    <w:pPr>
      <w:outlineLvl w:val="3"/>
    </w:pPr>
    <w:rPr>
      <w:b w:val="0"/>
      <w:bCs w:val="0"/>
      <w:color w:val="FF3131"/>
      <w:spacing w:val="5"/>
      <w:sz w:val="22"/>
    </w:rPr>
  </w:style>
  <w:style w:type="paragraph" w:styleId="berschrift5">
    <w:name w:val="heading 5"/>
    <w:basedOn w:val="Standard"/>
    <w:next w:val="Standard"/>
    <w:autoRedefine/>
    <w:locked/>
    <w:rsid w:val="00D73674"/>
    <w:pPr>
      <w:keepNext/>
      <w:numPr>
        <w:ilvl w:val="4"/>
        <w:numId w:val="3"/>
      </w:numPr>
      <w:adjustRightInd w:val="0"/>
      <w:spacing w:before="240" w:line="240" w:lineRule="auto"/>
      <w:outlineLvl w:val="4"/>
    </w:pPr>
    <w:rPr>
      <w:rFonts w:eastAsia="Batang"/>
      <w:i/>
      <w:iCs/>
      <w:color w:val="FF3131"/>
      <w:spacing w:val="5"/>
      <w:lang w:eastAsia="ko-KR"/>
    </w:rPr>
  </w:style>
  <w:style w:type="paragraph" w:styleId="berschrift6">
    <w:name w:val="heading 6"/>
    <w:basedOn w:val="Standard"/>
    <w:next w:val="Standard"/>
    <w:locked/>
    <w:rsid w:val="003229E1"/>
    <w:pPr>
      <w:keepNext/>
      <w:numPr>
        <w:ilvl w:val="5"/>
        <w:numId w:val="3"/>
      </w:numPr>
      <w:spacing w:before="240" w:line="240" w:lineRule="auto"/>
      <w:outlineLvl w:val="5"/>
    </w:pPr>
    <w:rPr>
      <w:rFonts w:ascii="Arial Black" w:hAnsi="Arial Black"/>
      <w:spacing w:val="5"/>
    </w:rPr>
  </w:style>
  <w:style w:type="paragraph" w:styleId="berschrift7">
    <w:name w:val="heading 7"/>
    <w:basedOn w:val="Standard"/>
    <w:next w:val="Standard"/>
    <w:locked/>
    <w:rsid w:val="003229E1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ocked/>
    <w:rsid w:val="003229E1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ocked/>
    <w:rsid w:val="003229E1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locked/>
    <w:rsid w:val="003229E1"/>
    <w:rPr>
      <w:rFonts w:ascii="Arial Black" w:hAnsi="Arial Black" w:cs="Times New Roman"/>
      <w:sz w:val="44"/>
      <w:lang w:bidi="ar-SA"/>
    </w:rPr>
  </w:style>
  <w:style w:type="character" w:customStyle="1" w:styleId="Heading2Char">
    <w:name w:val="Heading 2 Char"/>
    <w:basedOn w:val="Absatz-Standardschriftart"/>
    <w:locked/>
    <w:rsid w:val="003229E1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Absatz-Standardschriftart"/>
    <w:locked/>
    <w:rsid w:val="003229E1"/>
    <w:rPr>
      <w:rFonts w:ascii="Arial Black" w:eastAsia="Batang" w:hAnsi="Arial Black" w:cs="Times New Roman"/>
      <w:color w:val="648FAA"/>
      <w:sz w:val="36"/>
      <w:lang w:eastAsia="ko-KR" w:bidi="ar-SA"/>
    </w:rPr>
  </w:style>
  <w:style w:type="character" w:customStyle="1" w:styleId="berschrift4Zchn">
    <w:name w:val="Überschrift 4 Zchn"/>
    <w:basedOn w:val="Absatz-Standardschriftart"/>
    <w:link w:val="berschrift4"/>
    <w:rsid w:val="00696BBA"/>
    <w:rPr>
      <w:rFonts w:ascii="Segoe UI Historic" w:eastAsia="Batang" w:hAnsi="Segoe UI Historic"/>
      <w:color w:val="FF3131"/>
      <w:spacing w:val="5"/>
      <w:szCs w:val="24"/>
      <w:lang w:eastAsia="ko-KR" w:bidi="ar-SA"/>
    </w:rPr>
  </w:style>
  <w:style w:type="character" w:customStyle="1" w:styleId="Heading5Char">
    <w:name w:val="Heading 5 Char"/>
    <w:basedOn w:val="Absatz-Standardschriftart"/>
    <w:locked/>
    <w:rsid w:val="003229E1"/>
    <w:rPr>
      <w:rFonts w:ascii="Arial Black" w:eastAsia="Batang" w:hAnsi="Arial Black" w:cs="Times New Roman"/>
      <w:bCs/>
      <w:color w:val="648FAA"/>
      <w:spacing w:val="5"/>
      <w:sz w:val="24"/>
      <w:szCs w:val="24"/>
      <w:lang w:eastAsia="ko-KR" w:bidi="ar-SA"/>
    </w:rPr>
  </w:style>
  <w:style w:type="character" w:customStyle="1" w:styleId="Heading6Char">
    <w:name w:val="Heading 6 Char"/>
    <w:basedOn w:val="Absatz-Standardschriftart"/>
    <w:locked/>
    <w:rsid w:val="003229E1"/>
    <w:rPr>
      <w:rFonts w:ascii="Arial Black" w:hAnsi="Arial Black" w:cs="Times New Roman"/>
      <w:spacing w:val="5"/>
      <w:sz w:val="22"/>
      <w:lang w:bidi="ar-SA"/>
    </w:rPr>
  </w:style>
  <w:style w:type="character" w:customStyle="1" w:styleId="Heading7Char">
    <w:name w:val="Heading 7 Char"/>
    <w:basedOn w:val="Absatz-Standardschriftart"/>
    <w:locked/>
    <w:rsid w:val="003229E1"/>
    <w:rPr>
      <w:rFonts w:ascii="Arial" w:hAnsi="Arial" w:cs="Times New Roman"/>
      <w:lang w:bidi="ar-SA"/>
    </w:rPr>
  </w:style>
  <w:style w:type="character" w:customStyle="1" w:styleId="Heading8Char">
    <w:name w:val="Heading 8 Char"/>
    <w:basedOn w:val="Absatz-Standardschriftart"/>
    <w:locked/>
    <w:rsid w:val="003229E1"/>
    <w:rPr>
      <w:rFonts w:ascii="Arial" w:hAnsi="Arial" w:cs="Times New Roman"/>
      <w:i/>
      <w:lang w:bidi="ar-SA"/>
    </w:rPr>
  </w:style>
  <w:style w:type="character" w:customStyle="1" w:styleId="Heading9Char">
    <w:name w:val="Heading 9 Char"/>
    <w:basedOn w:val="Absatz-Standardschriftart"/>
    <w:locked/>
    <w:rsid w:val="003229E1"/>
    <w:rPr>
      <w:rFonts w:ascii="Arial" w:hAnsi="Arial" w:cs="Times New Roman"/>
      <w:b/>
      <w:i/>
      <w:sz w:val="18"/>
      <w:lang w:bidi="ar-SA"/>
    </w:rPr>
  </w:style>
  <w:style w:type="paragraph" w:styleId="Kopfzeile">
    <w:name w:val="header"/>
    <w:basedOn w:val="Standard"/>
    <w:link w:val="KopfzeileZchn"/>
    <w:autoRedefine/>
    <w:uiPriority w:val="99"/>
    <w:locked/>
    <w:rsid w:val="00AC0C35"/>
    <w:pPr>
      <w:spacing w:after="0" w:line="240" w:lineRule="auto"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AC0C35"/>
    <w:rPr>
      <w:noProof/>
    </w:rPr>
  </w:style>
  <w:style w:type="paragraph" w:styleId="Fuzeile">
    <w:name w:val="footer"/>
    <w:basedOn w:val="Standard"/>
    <w:locked/>
    <w:rsid w:val="003229E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FooterChar">
    <w:name w:val="Footer Char"/>
    <w:basedOn w:val="Absatz-Standardschriftart"/>
    <w:semiHidden/>
    <w:locked/>
    <w:rsid w:val="003229E1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Absatz-Standardschriftart"/>
    <w:uiPriority w:val="99"/>
    <w:locked/>
    <w:rsid w:val="003229E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ocked/>
    <w:rsid w:val="00322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locked/>
    <w:rsid w:val="003229E1"/>
    <w:rPr>
      <w:rFonts w:ascii="Tahoma" w:hAnsi="Tahoma" w:cs="Tahoma"/>
      <w:sz w:val="16"/>
      <w:szCs w:val="16"/>
      <w:lang w:eastAsia="ja-JP"/>
    </w:rPr>
  </w:style>
  <w:style w:type="paragraph" w:customStyle="1" w:styleId="Bullets">
    <w:name w:val="Bullets"/>
    <w:basedOn w:val="Standard"/>
    <w:autoRedefine/>
    <w:qFormat/>
    <w:locked/>
    <w:rsid w:val="003472AE"/>
    <w:pPr>
      <w:numPr>
        <w:numId w:val="2"/>
      </w:numPr>
      <w:spacing w:before="120" w:after="0"/>
      <w:ind w:left="644" w:right="108"/>
    </w:pPr>
    <w:rPr>
      <w:rFonts w:eastAsia="Batang"/>
      <w:lang w:val="de-DE" w:eastAsia="ko-KR"/>
    </w:rPr>
  </w:style>
  <w:style w:type="paragraph" w:customStyle="1" w:styleId="Picture">
    <w:name w:val="Picture"/>
    <w:basedOn w:val="Standard"/>
    <w:qFormat/>
    <w:locked/>
    <w:rsid w:val="003229E1"/>
    <w:pPr>
      <w:keepNext/>
      <w:spacing w:before="160" w:after="80" w:line="240" w:lineRule="auto"/>
      <w:ind w:left="1440"/>
    </w:pPr>
    <w:rPr>
      <w:rFonts w:eastAsia="Batang"/>
      <w:noProof/>
      <w:lang w:eastAsia="ko-KR"/>
    </w:rPr>
  </w:style>
  <w:style w:type="paragraph" w:customStyle="1" w:styleId="Callout">
    <w:name w:val="Callout"/>
    <w:basedOn w:val="Standard"/>
    <w:qFormat/>
    <w:locked/>
    <w:rsid w:val="003229E1"/>
    <w:pPr>
      <w:autoSpaceDE w:val="0"/>
      <w:autoSpaceDN w:val="0"/>
      <w:adjustRightInd w:val="0"/>
      <w:snapToGrid w:val="0"/>
      <w:spacing w:after="0" w:line="240" w:lineRule="auto"/>
    </w:pPr>
    <w:rPr>
      <w:rFonts w:ascii="Arial" w:hAnsi="Arial" w:cs="Arial"/>
      <w:sz w:val="14"/>
      <w:szCs w:val="14"/>
    </w:rPr>
  </w:style>
  <w:style w:type="paragraph" w:customStyle="1" w:styleId="NoteHead">
    <w:name w:val="NoteHead"/>
    <w:autoRedefine/>
    <w:uiPriority w:val="99"/>
    <w:qFormat/>
    <w:locked/>
    <w:rsid w:val="009E7A15"/>
    <w:pPr>
      <w:keepNext/>
      <w:shd w:val="pct10" w:color="auto" w:fill="auto"/>
      <w:adjustRightInd w:val="0"/>
      <w:spacing w:before="120" w:after="0" w:line="240" w:lineRule="exact"/>
      <w:contextualSpacing/>
    </w:pPr>
    <w:rPr>
      <w:rFonts w:ascii="Segoe UI Historic" w:eastAsia="Times New Roman" w:hAnsi="Segoe UI Historic"/>
      <w:noProof/>
      <w:sz w:val="18"/>
      <w:szCs w:val="18"/>
      <w:lang w:bidi="ar-SA"/>
    </w:rPr>
  </w:style>
  <w:style w:type="paragraph" w:customStyle="1" w:styleId="Notetext">
    <w:name w:val="Notetext"/>
    <w:autoRedefine/>
    <w:qFormat/>
    <w:locked/>
    <w:rsid w:val="00321266"/>
    <w:pPr>
      <w:pBdr>
        <w:bottom w:val="single" w:sz="4" w:space="1" w:color="EEECE1" w:themeColor="background2"/>
      </w:pBdr>
      <w:spacing w:before="40" w:after="0" w:line="220" w:lineRule="atLeast"/>
    </w:pPr>
    <w:rPr>
      <w:rFonts w:ascii="Segoe UI Historic" w:eastAsia="Times New Roman" w:hAnsi="Segoe UI Historic"/>
      <w:noProof/>
      <w:sz w:val="18"/>
      <w:szCs w:val="18"/>
      <w:lang w:val="en-CA" w:bidi="ar-SA"/>
    </w:rPr>
  </w:style>
  <w:style w:type="paragraph" w:customStyle="1" w:styleId="Noteicon">
    <w:name w:val="Noteicon"/>
    <w:basedOn w:val="Standard"/>
    <w:autoRedefine/>
    <w:uiPriority w:val="99"/>
    <w:locked/>
    <w:rsid w:val="009E7A15"/>
    <w:pPr>
      <w:adjustRightInd w:val="0"/>
      <w:spacing w:before="160" w:line="240" w:lineRule="auto"/>
      <w:jc w:val="right"/>
    </w:pPr>
    <w:rPr>
      <w:rFonts w:ascii="Book Antiqua" w:eastAsia="Times New Roman" w:hAnsi="Book Antiqua"/>
      <w:b/>
      <w:bCs/>
      <w:i/>
      <w:iCs/>
      <w:noProof/>
    </w:rPr>
  </w:style>
  <w:style w:type="paragraph" w:customStyle="1" w:styleId="To">
    <w:name w:val="To"/>
    <w:basedOn w:val="Standard"/>
    <w:next w:val="Numbers-manual"/>
    <w:autoRedefine/>
    <w:qFormat/>
    <w:locked/>
    <w:rsid w:val="002C3865"/>
    <w:pPr>
      <w:keepNext/>
      <w:numPr>
        <w:numId w:val="4"/>
      </w:numPr>
      <w:spacing w:before="200" w:after="120" w:line="240" w:lineRule="auto"/>
      <w:ind w:right="1826"/>
    </w:pPr>
    <w:rPr>
      <w:rFonts w:eastAsia="Batang"/>
      <w:b/>
      <w:color w:val="FF3131"/>
      <w:lang w:eastAsia="ko-KR"/>
    </w:rPr>
  </w:style>
  <w:style w:type="paragraph" w:styleId="Beschriftung">
    <w:name w:val="caption"/>
    <w:basedOn w:val="Standard"/>
    <w:next w:val="Standard"/>
    <w:qFormat/>
    <w:locked/>
    <w:rsid w:val="003229E1"/>
    <w:rPr>
      <w:b/>
      <w:bCs/>
    </w:rPr>
  </w:style>
  <w:style w:type="paragraph" w:customStyle="1" w:styleId="ChapterTitle">
    <w:name w:val="Chapter Title"/>
    <w:basedOn w:val="Standard"/>
    <w:locked/>
    <w:rsid w:val="003229E1"/>
    <w:pPr>
      <w:keepNext/>
      <w:adjustRightInd w:val="0"/>
      <w:spacing w:after="200" w:line="240" w:lineRule="auto"/>
      <w:jc w:val="center"/>
      <w:outlineLvl w:val="1"/>
    </w:pPr>
    <w:rPr>
      <w:rFonts w:ascii="Arial Black" w:eastAsia="Times New Roman" w:hAnsi="Arial Black"/>
      <w:color w:val="CC0033"/>
      <w:spacing w:val="-6"/>
      <w:sz w:val="37"/>
      <w:szCs w:val="37"/>
    </w:rPr>
  </w:style>
  <w:style w:type="paragraph" w:customStyle="1" w:styleId="PictureCaption">
    <w:name w:val="Picture Caption"/>
    <w:basedOn w:val="Beschriftung"/>
    <w:autoRedefine/>
    <w:qFormat/>
    <w:locked/>
    <w:rsid w:val="00380555"/>
    <w:pPr>
      <w:spacing w:after="120" w:line="240" w:lineRule="auto"/>
      <w:jc w:val="center"/>
    </w:pPr>
    <w:rPr>
      <w:rFonts w:eastAsia="Times New Roman"/>
      <w:noProof/>
    </w:rPr>
  </w:style>
  <w:style w:type="character" w:styleId="Seitenzahl">
    <w:name w:val="page number"/>
    <w:locked/>
    <w:rsid w:val="003229E1"/>
    <w:rPr>
      <w:rFonts w:ascii="Arial" w:hAnsi="Arial" w:cs="Arial"/>
      <w:b/>
      <w:bCs/>
      <w:sz w:val="18"/>
      <w:szCs w:val="18"/>
    </w:rPr>
  </w:style>
  <w:style w:type="character" w:styleId="BesuchterLink">
    <w:name w:val="FollowedHyperlink"/>
    <w:basedOn w:val="Absatz-Standardschriftart"/>
    <w:locked/>
    <w:rsid w:val="003229E1"/>
    <w:rPr>
      <w:color w:val="800080"/>
      <w:u w:val="single"/>
    </w:rPr>
  </w:style>
  <w:style w:type="paragraph" w:customStyle="1" w:styleId="Para">
    <w:name w:val="Para"/>
    <w:basedOn w:val="Callout"/>
    <w:locked/>
    <w:rsid w:val="003229E1"/>
    <w:pPr>
      <w:spacing w:before="80"/>
      <w:ind w:left="1080"/>
    </w:pPr>
  </w:style>
  <w:style w:type="paragraph" w:styleId="Listenabsatz">
    <w:name w:val="List Paragraph"/>
    <w:basedOn w:val="Numbers-manual"/>
    <w:link w:val="ListenabsatzZchn"/>
    <w:autoRedefine/>
    <w:uiPriority w:val="34"/>
    <w:qFormat/>
    <w:locked/>
    <w:rsid w:val="003D04D4"/>
    <w:pPr>
      <w:numPr>
        <w:numId w:val="39"/>
      </w:numPr>
    </w:pPr>
  </w:style>
  <w:style w:type="paragraph" w:customStyle="1" w:styleId="NumberManual">
    <w:name w:val="Number Manual"/>
    <w:autoRedefine/>
    <w:locked/>
    <w:rsid w:val="00EA4571"/>
    <w:pPr>
      <w:ind w:left="357" w:hanging="357"/>
    </w:pPr>
    <w:rPr>
      <w:rFonts w:ascii="Calibri" w:hAnsi="Calibri"/>
      <w:sz w:val="18"/>
      <w:szCs w:val="21"/>
      <w:lang w:bidi="ar-SA"/>
    </w:rPr>
  </w:style>
  <w:style w:type="paragraph" w:customStyle="1" w:styleId="PictureList">
    <w:name w:val="Picture List"/>
    <w:basedOn w:val="Picture"/>
    <w:locked/>
    <w:rsid w:val="003229E1"/>
    <w:pPr>
      <w:keepNext w:val="0"/>
      <w:spacing w:before="80"/>
      <w:ind w:left="360"/>
    </w:pPr>
    <w:rPr>
      <w:szCs w:val="21"/>
    </w:rPr>
  </w:style>
  <w:style w:type="paragraph" w:customStyle="1" w:styleId="Bullets2">
    <w:name w:val="Bullets 2"/>
    <w:basedOn w:val="Bullets"/>
    <w:autoRedefine/>
    <w:uiPriority w:val="99"/>
    <w:qFormat/>
    <w:locked/>
    <w:rsid w:val="006A3CE0"/>
    <w:pPr>
      <w:numPr>
        <w:numId w:val="5"/>
      </w:numPr>
      <w:spacing w:before="40" w:line="240" w:lineRule="auto"/>
      <w:ind w:left="851" w:right="107" w:hanging="284"/>
    </w:pPr>
  </w:style>
  <w:style w:type="paragraph" w:customStyle="1" w:styleId="PictureLeft">
    <w:name w:val="Picture Left"/>
    <w:basedOn w:val="Standard"/>
    <w:locked/>
    <w:rsid w:val="003229E1"/>
    <w:pPr>
      <w:spacing w:after="0" w:line="240" w:lineRule="auto"/>
    </w:pPr>
    <w:rPr>
      <w:rFonts w:ascii="Arial" w:eastAsia="Times New Roman" w:hAnsi="Arial" w:cs="Arial"/>
    </w:rPr>
  </w:style>
  <w:style w:type="character" w:styleId="Kommentarzeichen">
    <w:name w:val="annotation reference"/>
    <w:basedOn w:val="Absatz-Standardschriftart"/>
    <w:locked/>
    <w:rsid w:val="003229E1"/>
    <w:rPr>
      <w:sz w:val="16"/>
      <w:szCs w:val="16"/>
    </w:rPr>
  </w:style>
  <w:style w:type="paragraph" w:customStyle="1" w:styleId="PictureCaptionList">
    <w:name w:val="Picture Caption List"/>
    <w:basedOn w:val="Standard"/>
    <w:locked/>
    <w:rsid w:val="003229E1"/>
    <w:pPr>
      <w:tabs>
        <w:tab w:val="left" w:pos="2880"/>
      </w:tabs>
      <w:ind w:left="360"/>
    </w:pPr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3229E1"/>
  </w:style>
  <w:style w:type="character" w:customStyle="1" w:styleId="CommentTextChar">
    <w:name w:val="Comment Text Char"/>
    <w:basedOn w:val="Absatz-Standardschriftart"/>
    <w:locked/>
    <w:rsid w:val="003229E1"/>
    <w:rPr>
      <w:lang w:bidi="ar-SA"/>
    </w:rPr>
  </w:style>
  <w:style w:type="paragraph" w:styleId="Kommentarthema">
    <w:name w:val="annotation subject"/>
    <w:basedOn w:val="Kommentartext"/>
    <w:next w:val="Kommentartext"/>
    <w:locked/>
    <w:rsid w:val="003229E1"/>
    <w:rPr>
      <w:b/>
      <w:bCs/>
    </w:rPr>
  </w:style>
  <w:style w:type="character" w:customStyle="1" w:styleId="CommentSubjectChar">
    <w:name w:val="Comment Subject Char"/>
    <w:basedOn w:val="CommentTextChar"/>
    <w:locked/>
    <w:rsid w:val="003229E1"/>
    <w:rPr>
      <w:b/>
      <w:bCs/>
      <w:lang w:bidi="ar-SA"/>
    </w:rPr>
  </w:style>
  <w:style w:type="paragraph" w:styleId="berarbeitung">
    <w:name w:val="Revision"/>
    <w:hidden/>
    <w:uiPriority w:val="99"/>
    <w:semiHidden/>
    <w:rsid w:val="00AD7008"/>
    <w:rPr>
      <w:sz w:val="21"/>
      <w:lang w:bidi="ar-SA"/>
    </w:rPr>
  </w:style>
  <w:style w:type="table" w:styleId="Tabellenraster">
    <w:name w:val="Table Grid"/>
    <w:basedOn w:val="NormaleTabelle"/>
    <w:locked/>
    <w:rsid w:val="00D551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bers-manual">
    <w:name w:val="Numbers-manual"/>
    <w:autoRedefine/>
    <w:qFormat/>
    <w:locked/>
    <w:rsid w:val="003D04D4"/>
    <w:pPr>
      <w:numPr>
        <w:numId w:val="6"/>
      </w:numPr>
      <w:spacing w:before="40"/>
      <w:ind w:right="-23"/>
    </w:pPr>
    <w:rPr>
      <w:rFonts w:ascii="Segoe UI Historic" w:eastAsia="Times New Roman" w:hAnsi="Segoe UI Historic"/>
      <w:sz w:val="18"/>
      <w:szCs w:val="18"/>
      <w:lang w:bidi="ar-SA"/>
    </w:rPr>
  </w:style>
  <w:style w:type="paragraph" w:customStyle="1" w:styleId="NotetextFrench">
    <w:name w:val="Notetext French"/>
    <w:basedOn w:val="Notetext"/>
    <w:autoRedefine/>
    <w:qFormat/>
    <w:locked/>
    <w:rsid w:val="00404B1C"/>
    <w:rPr>
      <w:i/>
      <w:iCs/>
    </w:rPr>
  </w:style>
  <w:style w:type="paragraph" w:customStyle="1" w:styleId="ScreenText">
    <w:name w:val="Screen Text"/>
    <w:autoRedefine/>
    <w:qFormat/>
    <w:locked/>
    <w:rsid w:val="00BA4142"/>
    <w:pPr>
      <w:keepLines/>
      <w:pBdr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1" w:color="A6A6A6" w:themeColor="background1" w:themeShade="A6"/>
        <w:right w:val="single" w:sz="2" w:space="0" w:color="A6A6A6" w:themeColor="background1" w:themeShade="A6"/>
      </w:pBdr>
      <w:shd w:val="clear" w:color="auto" w:fill="EEECE1" w:themeFill="background2"/>
      <w:spacing w:before="60"/>
      <w:ind w:left="851" w:right="5103"/>
    </w:pPr>
    <w:rPr>
      <w:rFonts w:ascii="Segoe UI Historic" w:eastAsia="Times New Roman" w:hAnsi="Segoe UI Historic"/>
      <w:color w:val="808080" w:themeColor="background1" w:themeShade="80"/>
      <w:spacing w:val="80"/>
      <w:sz w:val="18"/>
      <w:szCs w:val="18"/>
      <w:lang w:bidi="ar-SA"/>
    </w:rPr>
  </w:style>
  <w:style w:type="paragraph" w:customStyle="1" w:styleId="NumbersIndent">
    <w:name w:val="Numbers Indent"/>
    <w:basedOn w:val="Standard"/>
    <w:autoRedefine/>
    <w:locked/>
    <w:rsid w:val="005172C5"/>
    <w:pPr>
      <w:keepNext/>
      <w:spacing w:after="0" w:line="240" w:lineRule="auto"/>
      <w:ind w:left="357"/>
    </w:pPr>
    <w:rPr>
      <w:rFonts w:eastAsia="Times New Roman"/>
    </w:rPr>
  </w:style>
  <w:style w:type="paragraph" w:customStyle="1" w:styleId="TableHeading">
    <w:name w:val="Table Heading"/>
    <w:autoRedefine/>
    <w:qFormat/>
    <w:locked/>
    <w:rsid w:val="003D2A55"/>
    <w:pPr>
      <w:keepNext/>
      <w:spacing w:before="20" w:after="20"/>
    </w:pPr>
    <w:rPr>
      <w:rFonts w:ascii="Segoe UI Historic" w:eastAsia="Arial" w:hAnsi="Segoe UI Historic"/>
      <w:sz w:val="18"/>
      <w:szCs w:val="18"/>
      <w:lang w:bidi="ar-SA"/>
    </w:rPr>
  </w:style>
  <w:style w:type="paragraph" w:customStyle="1" w:styleId="TableText">
    <w:name w:val="Table Text"/>
    <w:autoRedefine/>
    <w:qFormat/>
    <w:locked/>
    <w:rsid w:val="003D2A55"/>
    <w:pPr>
      <w:suppressAutoHyphens/>
      <w:spacing w:before="40" w:after="40"/>
    </w:pPr>
    <w:rPr>
      <w:rFonts w:ascii="Segoe UI Historic" w:eastAsia="Arial" w:hAnsi="Segoe UI Historic"/>
      <w:sz w:val="18"/>
      <w:szCs w:val="18"/>
      <w:lang w:val="en-IE" w:eastAsia="ja-JP" w:bidi="ar-SA"/>
    </w:rPr>
  </w:style>
  <w:style w:type="character" w:customStyle="1" w:styleId="hps">
    <w:name w:val="hps"/>
    <w:locked/>
    <w:rsid w:val="006E5C45"/>
  </w:style>
  <w:style w:type="paragraph" w:styleId="StandardWeb">
    <w:name w:val="Normal (Web)"/>
    <w:basedOn w:val="Standard"/>
    <w:uiPriority w:val="99"/>
    <w:unhideWhenUsed/>
    <w:locked/>
    <w:rsid w:val="00AD0E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Funotentext">
    <w:name w:val="footnote text"/>
    <w:link w:val="FunotentextZchn"/>
    <w:autoRedefine/>
    <w:uiPriority w:val="99"/>
    <w:unhideWhenUsed/>
    <w:locked/>
    <w:rsid w:val="0014738C"/>
    <w:rPr>
      <w:rFonts w:ascii="Calibri" w:hAnsi="Calibri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4738C"/>
    <w:rPr>
      <w:rFonts w:ascii="Calibri" w:hAnsi="Calibri"/>
      <w:sz w:val="16"/>
    </w:rPr>
  </w:style>
  <w:style w:type="character" w:customStyle="1" w:styleId="ListenabsatzZchn">
    <w:name w:val="Listenabsatz Zchn"/>
    <w:basedOn w:val="Absatz-Standardschriftart"/>
    <w:link w:val="Listenabsatz"/>
    <w:rsid w:val="00F668B6"/>
    <w:rPr>
      <w:rFonts w:ascii="Segoe UI Historic" w:eastAsia="Times New Roman" w:hAnsi="Segoe UI Historic"/>
      <w:sz w:val="18"/>
      <w:szCs w:val="18"/>
      <w:lang w:bidi="ar-SA"/>
    </w:rPr>
  </w:style>
  <w:style w:type="paragraph" w:styleId="Liste">
    <w:name w:val="List"/>
    <w:basedOn w:val="Standard"/>
    <w:unhideWhenUsed/>
    <w:locked/>
    <w:rsid w:val="00F57780"/>
    <w:pPr>
      <w:ind w:left="283" w:hanging="283"/>
      <w:contextualSpacing/>
    </w:pPr>
  </w:style>
  <w:style w:type="paragraph" w:styleId="Liste2">
    <w:name w:val="List 2"/>
    <w:basedOn w:val="Standard"/>
    <w:unhideWhenUsed/>
    <w:locked/>
    <w:rsid w:val="00F57780"/>
    <w:pPr>
      <w:ind w:left="566" w:hanging="283"/>
      <w:contextualSpacing/>
    </w:pPr>
  </w:style>
  <w:style w:type="paragraph" w:styleId="Liste3">
    <w:name w:val="List 3"/>
    <w:basedOn w:val="Standard"/>
    <w:unhideWhenUsed/>
    <w:locked/>
    <w:rsid w:val="00F57780"/>
    <w:pPr>
      <w:ind w:left="849" w:hanging="283"/>
      <w:contextualSpacing/>
    </w:pPr>
  </w:style>
  <w:style w:type="paragraph" w:styleId="Liste4">
    <w:name w:val="List 4"/>
    <w:basedOn w:val="Standard"/>
    <w:locked/>
    <w:rsid w:val="00F57780"/>
    <w:pPr>
      <w:ind w:left="1132" w:hanging="283"/>
      <w:contextualSpacing/>
    </w:pPr>
  </w:style>
  <w:style w:type="paragraph" w:styleId="Liste5">
    <w:name w:val="List 5"/>
    <w:basedOn w:val="Standard"/>
    <w:locked/>
    <w:rsid w:val="00F57780"/>
    <w:pPr>
      <w:ind w:left="1415" w:hanging="283"/>
      <w:contextualSpacing/>
    </w:pPr>
  </w:style>
  <w:style w:type="paragraph" w:styleId="Aufzhlungszeichen">
    <w:name w:val="List Bullet"/>
    <w:basedOn w:val="Standard"/>
    <w:unhideWhenUsed/>
    <w:locked/>
    <w:rsid w:val="00F57780"/>
    <w:pPr>
      <w:numPr>
        <w:numId w:val="11"/>
      </w:numPr>
      <w:contextualSpacing/>
    </w:pPr>
  </w:style>
  <w:style w:type="paragraph" w:styleId="Aufzhlungszeichen2">
    <w:name w:val="List Bullet 2"/>
    <w:basedOn w:val="Standard"/>
    <w:unhideWhenUsed/>
    <w:locked/>
    <w:rsid w:val="00F57780"/>
    <w:pPr>
      <w:numPr>
        <w:numId w:val="12"/>
      </w:numPr>
      <w:contextualSpacing/>
    </w:pPr>
  </w:style>
  <w:style w:type="paragraph" w:styleId="Listenfortsetzung">
    <w:name w:val="List Continue"/>
    <w:basedOn w:val="Standard"/>
    <w:unhideWhenUsed/>
    <w:locked/>
    <w:rsid w:val="00F57780"/>
    <w:pPr>
      <w:spacing w:after="120"/>
      <w:ind w:left="283"/>
      <w:contextualSpacing/>
    </w:pPr>
  </w:style>
  <w:style w:type="paragraph" w:styleId="Listenfortsetzung2">
    <w:name w:val="List Continue 2"/>
    <w:basedOn w:val="Standard"/>
    <w:unhideWhenUsed/>
    <w:locked/>
    <w:rsid w:val="00F57780"/>
    <w:pPr>
      <w:spacing w:after="120"/>
      <w:ind w:left="566"/>
      <w:contextualSpacing/>
    </w:pPr>
  </w:style>
  <w:style w:type="paragraph" w:styleId="Listenfortsetzung4">
    <w:name w:val="List Continue 4"/>
    <w:basedOn w:val="Standard"/>
    <w:unhideWhenUsed/>
    <w:locked/>
    <w:rsid w:val="00F57780"/>
    <w:pPr>
      <w:spacing w:after="120"/>
      <w:ind w:left="1132"/>
      <w:contextualSpacing/>
    </w:pPr>
  </w:style>
  <w:style w:type="paragraph" w:styleId="Listennummer">
    <w:name w:val="List Number"/>
    <w:basedOn w:val="Standard"/>
    <w:locked/>
    <w:rsid w:val="00F57780"/>
    <w:pPr>
      <w:numPr>
        <w:numId w:val="16"/>
      </w:numPr>
      <w:contextualSpacing/>
    </w:pPr>
  </w:style>
  <w:style w:type="paragraph" w:styleId="Listennummer2">
    <w:name w:val="List Number 2"/>
    <w:basedOn w:val="Standard"/>
    <w:unhideWhenUsed/>
    <w:locked/>
    <w:rsid w:val="00F57780"/>
    <w:pPr>
      <w:numPr>
        <w:numId w:val="17"/>
      </w:numPr>
      <w:contextualSpacing/>
    </w:pPr>
  </w:style>
  <w:style w:type="paragraph" w:styleId="Listennummer3">
    <w:name w:val="List Number 3"/>
    <w:basedOn w:val="Standard"/>
    <w:unhideWhenUsed/>
    <w:locked/>
    <w:rsid w:val="00F57780"/>
    <w:pPr>
      <w:numPr>
        <w:numId w:val="18"/>
      </w:numPr>
      <w:contextualSpacing/>
    </w:pPr>
  </w:style>
  <w:style w:type="paragraph" w:styleId="Listennummer4">
    <w:name w:val="List Number 4"/>
    <w:basedOn w:val="Standard"/>
    <w:unhideWhenUsed/>
    <w:locked/>
    <w:rsid w:val="00F57780"/>
    <w:pPr>
      <w:numPr>
        <w:numId w:val="19"/>
      </w:numPr>
      <w:contextualSpacing/>
    </w:pPr>
  </w:style>
  <w:style w:type="paragraph" w:styleId="Listennummer5">
    <w:name w:val="List Number 5"/>
    <w:basedOn w:val="Standard"/>
    <w:unhideWhenUsed/>
    <w:locked/>
    <w:rsid w:val="00F57780"/>
    <w:pPr>
      <w:numPr>
        <w:numId w:val="20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locked/>
    <w:rsid w:val="00AE58E4"/>
    <w:pPr>
      <w:tabs>
        <w:tab w:val="right" w:leader="dot" w:pos="10773"/>
      </w:tabs>
      <w:spacing w:after="100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locked/>
    <w:rsid w:val="00AE58E4"/>
    <w:pPr>
      <w:tabs>
        <w:tab w:val="right" w:leader="dot" w:pos="10773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locked/>
    <w:rsid w:val="00616092"/>
    <w:pPr>
      <w:tabs>
        <w:tab w:val="right" w:leader="dot" w:pos="10773"/>
      </w:tabs>
      <w:spacing w:after="100"/>
      <w:ind w:left="400"/>
    </w:pPr>
  </w:style>
  <w:style w:type="paragraph" w:customStyle="1" w:styleId="SetAppHead">
    <w:name w:val="SetApp_Head"/>
    <w:basedOn w:val="Standard"/>
    <w:autoRedefine/>
    <w:qFormat/>
    <w:rsid w:val="00BB09FE"/>
    <w:pPr>
      <w:jc w:val="center"/>
    </w:pPr>
    <w:rPr>
      <w:rFonts w:cs="Calibri"/>
      <w:color w:val="CE1126"/>
      <w:sz w:val="24"/>
      <w:szCs w:val="24"/>
      <w:lang w:eastAsia="ko-KR"/>
    </w:rPr>
  </w:style>
  <w:style w:type="paragraph" w:customStyle="1" w:styleId="SetAppMenu">
    <w:name w:val="SetApp_Menu"/>
    <w:basedOn w:val="Standard"/>
    <w:autoRedefine/>
    <w:qFormat/>
    <w:rsid w:val="00BB09FE"/>
    <w:rPr>
      <w:rFonts w:cs="Calibri"/>
      <w:lang w:eastAsia="ko-KR"/>
    </w:rPr>
  </w:style>
  <w:style w:type="paragraph" w:customStyle="1" w:styleId="SetAppMenuBold">
    <w:name w:val="SetApp_Menu_Bold"/>
    <w:basedOn w:val="SetAppMenu"/>
    <w:autoRedefine/>
    <w:qFormat/>
    <w:rsid w:val="009C6293"/>
    <w:rPr>
      <w:b/>
      <w:bCs/>
    </w:rPr>
  </w:style>
  <w:style w:type="paragraph" w:customStyle="1" w:styleId="li">
    <w:name w:val="li"/>
    <w:rsid w:val="003002C7"/>
    <w:pPr>
      <w:spacing w:before="60" w:line="180" w:lineRule="atLeast"/>
      <w:ind w:left="339"/>
    </w:pPr>
    <w:rPr>
      <w:rFonts w:ascii="Calibri" w:eastAsia="Arial" w:hAnsi="Calibri" w:cs="Calibri"/>
      <w:sz w:val="16"/>
      <w:szCs w:val="16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locked/>
    <w:rsid w:val="00871FC7"/>
    <w:pPr>
      <w:keepNext/>
      <w:keepLines/>
      <w:spacing w:before="240"/>
      <w:outlineLvl w:val="9"/>
    </w:pPr>
    <w:rPr>
      <w:rFonts w:eastAsiaTheme="majorEastAsia"/>
      <w:b w:val="0"/>
      <w:sz w:val="28"/>
      <w:szCs w:val="28"/>
    </w:rPr>
  </w:style>
  <w:style w:type="paragraph" w:customStyle="1" w:styleId="Bullets3">
    <w:name w:val="Bullets 3"/>
    <w:basedOn w:val="Bullets2"/>
    <w:autoRedefine/>
    <w:qFormat/>
    <w:rsid w:val="006A3CE0"/>
    <w:pPr>
      <w:numPr>
        <w:numId w:val="34"/>
      </w:numPr>
      <w:ind w:left="1072" w:right="108" w:hanging="284"/>
    </w:pPr>
    <w:rPr>
      <w:rFonts w:eastAsia="Times New Roman"/>
    </w:r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7E3646"/>
  </w:style>
  <w:style w:type="paragraph" w:styleId="Blocktext">
    <w:name w:val="Block Text"/>
    <w:basedOn w:val="Standard"/>
    <w:semiHidden/>
    <w:unhideWhenUsed/>
    <w:locked/>
    <w:rsid w:val="007E364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semiHidden/>
    <w:unhideWhenUsed/>
    <w:locked/>
    <w:rsid w:val="007E364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2">
    <w:name w:val="Body Text 2"/>
    <w:basedOn w:val="Standard"/>
    <w:link w:val="Textkrper2Zchn"/>
    <w:semiHidden/>
    <w:unhideWhenUsed/>
    <w:locked/>
    <w:rsid w:val="007E364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3">
    <w:name w:val="Body Text 3"/>
    <w:basedOn w:val="Standard"/>
    <w:link w:val="Textkrper3Zchn"/>
    <w:semiHidden/>
    <w:unhideWhenUsed/>
    <w:locked/>
    <w:rsid w:val="007E364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7E3646"/>
    <w:rPr>
      <w:rFonts w:ascii="Segoe UI Historic" w:hAnsi="Segoe UI Historic" w:cs="Segoe UI"/>
      <w:sz w:val="16"/>
      <w:szCs w:val="16"/>
      <w:lang w:val="de-DE" w:bidi="ar-SA"/>
    </w:rPr>
  </w:style>
  <w:style w:type="paragraph" w:styleId="Textkrper-Erstzeileneinzug">
    <w:name w:val="Body Text First Indent"/>
    <w:basedOn w:val="Textkrper"/>
    <w:link w:val="Textkrper-ErstzeileneinzugZchn"/>
    <w:locked/>
    <w:rsid w:val="007E3646"/>
    <w:pPr>
      <w:spacing w:after="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7E364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7E3646"/>
    <w:pPr>
      <w:spacing w:after="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7E364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7E364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E3646"/>
    <w:rPr>
      <w:rFonts w:ascii="Segoe UI Historic" w:hAnsi="Segoe UI Historic" w:cs="Segoe UI"/>
      <w:sz w:val="16"/>
      <w:szCs w:val="16"/>
      <w:lang w:val="de-DE" w:bidi="ar-SA"/>
    </w:rPr>
  </w:style>
  <w:style w:type="paragraph" w:styleId="Gruformel">
    <w:name w:val="Closing"/>
    <w:basedOn w:val="Standard"/>
    <w:link w:val="GruformelZchn"/>
    <w:semiHidden/>
    <w:unhideWhenUsed/>
    <w:locked/>
    <w:rsid w:val="007E3646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Datum">
    <w:name w:val="Date"/>
    <w:basedOn w:val="Standard"/>
    <w:next w:val="Standard"/>
    <w:link w:val="DatumZchn"/>
    <w:locked/>
    <w:rsid w:val="007E3646"/>
  </w:style>
  <w:style w:type="character" w:customStyle="1" w:styleId="DatumZchn">
    <w:name w:val="Datum Zchn"/>
    <w:basedOn w:val="Absatz-Standardschriftart"/>
    <w:link w:val="Datum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7E3646"/>
    <w:pPr>
      <w:spacing w:after="0"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E3646"/>
    <w:rPr>
      <w:rFonts w:ascii="Segoe UI" w:hAnsi="Segoe UI" w:cs="Segoe UI"/>
      <w:sz w:val="16"/>
      <w:szCs w:val="16"/>
      <w:lang w:val="de-DE" w:bidi="ar-SA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7E3646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Endnotentext">
    <w:name w:val="endnote text"/>
    <w:basedOn w:val="Standard"/>
    <w:link w:val="EndnotentextZchn"/>
    <w:semiHidden/>
    <w:unhideWhenUsed/>
    <w:locked/>
    <w:rsid w:val="007E364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7E3646"/>
    <w:rPr>
      <w:rFonts w:ascii="Segoe UI Historic" w:hAnsi="Segoe UI Historic" w:cs="Segoe UI"/>
      <w:lang w:val="de-DE" w:bidi="ar-SA"/>
    </w:rPr>
  </w:style>
  <w:style w:type="paragraph" w:styleId="Umschlagadresse">
    <w:name w:val="envelope address"/>
    <w:basedOn w:val="Standard"/>
    <w:semiHidden/>
    <w:unhideWhenUsed/>
    <w:locked/>
    <w:rsid w:val="007E36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locked/>
    <w:rsid w:val="007E364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resse">
    <w:name w:val="HTML Address"/>
    <w:basedOn w:val="Standard"/>
    <w:link w:val="HTMLAdresseZchn"/>
    <w:semiHidden/>
    <w:unhideWhenUsed/>
    <w:locked/>
    <w:rsid w:val="007E3646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7E3646"/>
    <w:rPr>
      <w:rFonts w:ascii="Segoe UI Historic" w:hAnsi="Segoe UI Historic" w:cs="Segoe UI"/>
      <w:i/>
      <w:iCs/>
      <w:sz w:val="18"/>
      <w:szCs w:val="18"/>
      <w:lang w:val="de-DE" w:bidi="ar-SA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7E36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7E3646"/>
    <w:rPr>
      <w:rFonts w:ascii="Consolas" w:hAnsi="Consolas" w:cs="Segoe UI"/>
      <w:lang w:val="de-DE" w:bidi="ar-SA"/>
    </w:rPr>
  </w:style>
  <w:style w:type="paragraph" w:styleId="Index1">
    <w:name w:val="index 1"/>
    <w:basedOn w:val="Standard"/>
    <w:next w:val="Standard"/>
    <w:autoRedefine/>
    <w:semiHidden/>
    <w:unhideWhenUsed/>
    <w:locked/>
    <w:rsid w:val="007E3646"/>
    <w:pPr>
      <w:spacing w:after="0" w:line="240" w:lineRule="auto"/>
      <w:ind w:left="180" w:hanging="180"/>
    </w:pPr>
  </w:style>
  <w:style w:type="paragraph" w:styleId="Index2">
    <w:name w:val="index 2"/>
    <w:basedOn w:val="Standard"/>
    <w:next w:val="Standard"/>
    <w:autoRedefine/>
    <w:semiHidden/>
    <w:unhideWhenUsed/>
    <w:locked/>
    <w:rsid w:val="007E3646"/>
    <w:pPr>
      <w:spacing w:after="0" w:line="240" w:lineRule="auto"/>
      <w:ind w:left="360" w:hanging="180"/>
    </w:pPr>
  </w:style>
  <w:style w:type="paragraph" w:styleId="Index3">
    <w:name w:val="index 3"/>
    <w:basedOn w:val="Standard"/>
    <w:next w:val="Standard"/>
    <w:autoRedefine/>
    <w:semiHidden/>
    <w:unhideWhenUsed/>
    <w:locked/>
    <w:rsid w:val="007E3646"/>
    <w:pPr>
      <w:spacing w:after="0" w:line="240" w:lineRule="auto"/>
      <w:ind w:left="540" w:hanging="180"/>
    </w:pPr>
  </w:style>
  <w:style w:type="paragraph" w:styleId="Index4">
    <w:name w:val="index 4"/>
    <w:basedOn w:val="Standard"/>
    <w:next w:val="Standard"/>
    <w:autoRedefine/>
    <w:semiHidden/>
    <w:unhideWhenUsed/>
    <w:locked/>
    <w:rsid w:val="007E3646"/>
    <w:pPr>
      <w:spacing w:after="0" w:line="240" w:lineRule="auto"/>
      <w:ind w:left="720" w:hanging="180"/>
    </w:pPr>
  </w:style>
  <w:style w:type="paragraph" w:styleId="Index5">
    <w:name w:val="index 5"/>
    <w:basedOn w:val="Standard"/>
    <w:next w:val="Standard"/>
    <w:autoRedefine/>
    <w:semiHidden/>
    <w:unhideWhenUsed/>
    <w:locked/>
    <w:rsid w:val="007E3646"/>
    <w:pPr>
      <w:spacing w:after="0" w:line="240" w:lineRule="auto"/>
      <w:ind w:left="900" w:hanging="180"/>
    </w:pPr>
  </w:style>
  <w:style w:type="paragraph" w:styleId="Index6">
    <w:name w:val="index 6"/>
    <w:basedOn w:val="Standard"/>
    <w:next w:val="Standard"/>
    <w:autoRedefine/>
    <w:semiHidden/>
    <w:unhideWhenUsed/>
    <w:locked/>
    <w:rsid w:val="007E3646"/>
    <w:pPr>
      <w:spacing w:after="0" w:line="240" w:lineRule="auto"/>
      <w:ind w:left="1080" w:hanging="180"/>
    </w:pPr>
  </w:style>
  <w:style w:type="paragraph" w:styleId="Index7">
    <w:name w:val="index 7"/>
    <w:basedOn w:val="Standard"/>
    <w:next w:val="Standard"/>
    <w:autoRedefine/>
    <w:semiHidden/>
    <w:unhideWhenUsed/>
    <w:locked/>
    <w:rsid w:val="007E3646"/>
    <w:pPr>
      <w:spacing w:after="0" w:line="240" w:lineRule="auto"/>
      <w:ind w:left="1260" w:hanging="180"/>
    </w:pPr>
  </w:style>
  <w:style w:type="paragraph" w:styleId="Index8">
    <w:name w:val="index 8"/>
    <w:basedOn w:val="Standard"/>
    <w:next w:val="Standard"/>
    <w:autoRedefine/>
    <w:semiHidden/>
    <w:unhideWhenUsed/>
    <w:locked/>
    <w:rsid w:val="007E3646"/>
    <w:pPr>
      <w:spacing w:after="0" w:line="240" w:lineRule="auto"/>
      <w:ind w:left="1440" w:hanging="180"/>
    </w:pPr>
  </w:style>
  <w:style w:type="paragraph" w:styleId="Index9">
    <w:name w:val="index 9"/>
    <w:basedOn w:val="Standard"/>
    <w:next w:val="Standard"/>
    <w:autoRedefine/>
    <w:semiHidden/>
    <w:unhideWhenUsed/>
    <w:locked/>
    <w:rsid w:val="007E3646"/>
    <w:pPr>
      <w:spacing w:after="0" w:line="240" w:lineRule="auto"/>
      <w:ind w:left="1620" w:hanging="180"/>
    </w:pPr>
  </w:style>
  <w:style w:type="paragraph" w:styleId="Indexberschrift">
    <w:name w:val="index heading"/>
    <w:basedOn w:val="Standard"/>
    <w:next w:val="Index1"/>
    <w:semiHidden/>
    <w:unhideWhenUsed/>
    <w:locked/>
    <w:rsid w:val="007E3646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7E364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3646"/>
    <w:rPr>
      <w:rFonts w:ascii="Segoe UI Historic" w:hAnsi="Segoe UI Historic" w:cs="Segoe UI"/>
      <w:i/>
      <w:iCs/>
      <w:color w:val="4F81BD" w:themeColor="accent1"/>
      <w:sz w:val="18"/>
      <w:szCs w:val="18"/>
      <w:lang w:val="de-DE" w:bidi="ar-SA"/>
    </w:rPr>
  </w:style>
  <w:style w:type="paragraph" w:styleId="Aufzhlungszeichen3">
    <w:name w:val="List Bullet 3"/>
    <w:basedOn w:val="Standard"/>
    <w:semiHidden/>
    <w:unhideWhenUsed/>
    <w:locked/>
    <w:rsid w:val="007E3646"/>
    <w:pPr>
      <w:numPr>
        <w:numId w:val="13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7E3646"/>
    <w:pPr>
      <w:numPr>
        <w:numId w:val="14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7E3646"/>
    <w:pPr>
      <w:numPr>
        <w:numId w:val="15"/>
      </w:numPr>
      <w:contextualSpacing/>
    </w:pPr>
  </w:style>
  <w:style w:type="paragraph" w:styleId="Listenfortsetzung3">
    <w:name w:val="List Continue 3"/>
    <w:basedOn w:val="Standard"/>
    <w:semiHidden/>
    <w:unhideWhenUsed/>
    <w:locked/>
    <w:rsid w:val="007E3646"/>
    <w:pPr>
      <w:spacing w:after="120"/>
      <w:ind w:left="849"/>
      <w:contextualSpacing/>
    </w:pPr>
  </w:style>
  <w:style w:type="paragraph" w:styleId="Listenfortsetzung5">
    <w:name w:val="List Continue 5"/>
    <w:basedOn w:val="Standard"/>
    <w:semiHidden/>
    <w:unhideWhenUsed/>
    <w:locked/>
    <w:rsid w:val="007E3646"/>
    <w:pPr>
      <w:spacing w:after="120"/>
      <w:ind w:left="1415"/>
      <w:contextualSpacing/>
    </w:pPr>
  </w:style>
  <w:style w:type="paragraph" w:styleId="Makrotext">
    <w:name w:val="macro"/>
    <w:link w:val="MakrotextZchn"/>
    <w:semiHidden/>
    <w:unhideWhenUsed/>
    <w:locked/>
    <w:rsid w:val="007E3646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line="280" w:lineRule="atLeast"/>
    </w:pPr>
    <w:rPr>
      <w:rFonts w:ascii="Consolas" w:hAnsi="Consolas"/>
      <w:lang w:val="de-DE" w:bidi="ar-SA"/>
    </w:rPr>
  </w:style>
  <w:style w:type="character" w:customStyle="1" w:styleId="MakrotextZchn">
    <w:name w:val="Makrotext Zchn"/>
    <w:basedOn w:val="Absatz-Standardschriftart"/>
    <w:link w:val="Makrotext"/>
    <w:semiHidden/>
    <w:rsid w:val="007E3646"/>
    <w:rPr>
      <w:rFonts w:ascii="Consolas" w:hAnsi="Consolas" w:cs="Segoe UI"/>
      <w:lang w:val="de-DE" w:bidi="ar-SA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7E3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7E3646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bidi="ar-SA"/>
    </w:rPr>
  </w:style>
  <w:style w:type="paragraph" w:styleId="KeinLeerraum">
    <w:name w:val="No Spacing"/>
    <w:uiPriority w:val="1"/>
    <w:locked/>
    <w:rsid w:val="007E3646"/>
    <w:pPr>
      <w:keepLines/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Segoe UI Historic" w:hAnsi="Segoe UI Historic"/>
      <w:sz w:val="18"/>
      <w:szCs w:val="18"/>
      <w:lang w:val="de-DE" w:bidi="ar-SA"/>
    </w:rPr>
  </w:style>
  <w:style w:type="paragraph" w:styleId="Standardeinzug">
    <w:name w:val="Normal Indent"/>
    <w:basedOn w:val="Standard"/>
    <w:semiHidden/>
    <w:unhideWhenUsed/>
    <w:locked/>
    <w:rsid w:val="007E364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7E3646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NurText">
    <w:name w:val="Plain Text"/>
    <w:basedOn w:val="Standard"/>
    <w:link w:val="NurTextZchn"/>
    <w:semiHidden/>
    <w:unhideWhenUsed/>
    <w:locked/>
    <w:rsid w:val="007E36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7E3646"/>
    <w:rPr>
      <w:rFonts w:ascii="Consolas" w:hAnsi="Consolas" w:cs="Segoe UI"/>
      <w:sz w:val="21"/>
      <w:szCs w:val="21"/>
      <w:lang w:val="de-DE" w:bidi="ar-SA"/>
    </w:rPr>
  </w:style>
  <w:style w:type="paragraph" w:styleId="Zitat">
    <w:name w:val="Quote"/>
    <w:basedOn w:val="Standard"/>
    <w:next w:val="Standard"/>
    <w:link w:val="ZitatZchn"/>
    <w:uiPriority w:val="29"/>
    <w:locked/>
    <w:rsid w:val="007E36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3646"/>
    <w:rPr>
      <w:rFonts w:ascii="Segoe UI Historic" w:hAnsi="Segoe UI Historic" w:cs="Segoe UI"/>
      <w:i/>
      <w:iCs/>
      <w:color w:val="404040" w:themeColor="text1" w:themeTint="BF"/>
      <w:sz w:val="18"/>
      <w:szCs w:val="18"/>
      <w:lang w:val="de-DE" w:bidi="ar-SA"/>
    </w:rPr>
  </w:style>
  <w:style w:type="paragraph" w:styleId="Anrede">
    <w:name w:val="Salutation"/>
    <w:basedOn w:val="Standard"/>
    <w:next w:val="Standard"/>
    <w:link w:val="AnredeZchn"/>
    <w:locked/>
    <w:rsid w:val="007E3646"/>
  </w:style>
  <w:style w:type="character" w:customStyle="1" w:styleId="AnredeZchn">
    <w:name w:val="Anrede Zchn"/>
    <w:basedOn w:val="Absatz-Standardschriftart"/>
    <w:link w:val="Anrede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Unterschrift">
    <w:name w:val="Signature"/>
    <w:basedOn w:val="Standard"/>
    <w:link w:val="UnterschriftZchn"/>
    <w:semiHidden/>
    <w:unhideWhenUsed/>
    <w:locked/>
    <w:rsid w:val="007E3646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Untertitel">
    <w:name w:val="Subtitle"/>
    <w:basedOn w:val="Standard"/>
    <w:next w:val="Standard"/>
    <w:link w:val="UntertitelZchn"/>
    <w:locked/>
    <w:rsid w:val="007E364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7E364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bidi="ar-SA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7E3646"/>
    <w:pPr>
      <w:spacing w:after="0"/>
      <w:ind w:left="180" w:hanging="180"/>
    </w:pPr>
  </w:style>
  <w:style w:type="paragraph" w:styleId="Abbildungsverzeichnis">
    <w:name w:val="table of figures"/>
    <w:basedOn w:val="Standard"/>
    <w:next w:val="Standard"/>
    <w:semiHidden/>
    <w:unhideWhenUsed/>
    <w:locked/>
    <w:rsid w:val="007E3646"/>
    <w:pPr>
      <w:spacing w:after="0"/>
    </w:pPr>
  </w:style>
  <w:style w:type="paragraph" w:styleId="Titel">
    <w:name w:val="Title"/>
    <w:basedOn w:val="Standard"/>
    <w:next w:val="Standard"/>
    <w:link w:val="TitelZchn"/>
    <w:locked/>
    <w:rsid w:val="007E36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7E3646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bidi="ar-SA"/>
    </w:rPr>
  </w:style>
  <w:style w:type="paragraph" w:styleId="RGV-berschrift">
    <w:name w:val="toa heading"/>
    <w:basedOn w:val="Standard"/>
    <w:next w:val="Standard"/>
    <w:semiHidden/>
    <w:unhideWhenUsed/>
    <w:locked/>
    <w:rsid w:val="007E364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7E3646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7E3646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7E3646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7E3646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7E3646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7E3646"/>
    <w:pPr>
      <w:spacing w:after="100"/>
      <w:ind w:left="1440"/>
    </w:pPr>
  </w:style>
  <w:style w:type="paragraph" w:customStyle="1" w:styleId="Style1">
    <w:name w:val="Style1"/>
    <w:basedOn w:val="Bullets3"/>
    <w:autoRedefine/>
    <w:qFormat/>
    <w:rsid w:val="00372F71"/>
    <w:pPr>
      <w:keepLines/>
      <w:numPr>
        <w:numId w:val="0"/>
      </w:numPr>
      <w:ind w:right="0"/>
    </w:pPr>
    <w:rPr>
      <w:lang w:bidi="ar-SA"/>
    </w:rPr>
  </w:style>
  <w:style w:type="paragraph" w:customStyle="1" w:styleId="BulletinTable">
    <w:name w:val="Bullet_in_Table"/>
    <w:basedOn w:val="Bullets3"/>
    <w:autoRedefine/>
    <w:qFormat/>
    <w:rsid w:val="00372F71"/>
    <w:pPr>
      <w:keepLines/>
      <w:numPr>
        <w:numId w:val="38"/>
      </w:numPr>
      <w:ind w:right="0"/>
    </w:pPr>
    <w:rPr>
      <w:lang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11C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DA2125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Absatz-Standardschriftart"/>
    <w:rsid w:val="00FB1C94"/>
  </w:style>
  <w:style w:type="character" w:customStyle="1" w:styleId="KommentartextZchn">
    <w:name w:val="Kommentartext Zchn"/>
    <w:basedOn w:val="Absatz-Standardschriftart"/>
    <w:link w:val="Kommentartext"/>
    <w:rsid w:val="00BC7557"/>
    <w:rPr>
      <w:rFonts w:ascii="Segoe UI Historic" w:hAnsi="Segoe UI Histor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n.h\Documents\Vorlagen\Application_Not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0b49a-c3f5-4937-b03e-3bd6a8c311a1" xsi:nil="true"/>
    <lcf76f155ced4ddcb4097134ff3c332f xmlns="2cbd1512-f3e0-4ad4-9174-9a170f577f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3A0BCA06F4140B0B98C84F53A42C6" ma:contentTypeVersion="13" ma:contentTypeDescription="Create a new document." ma:contentTypeScope="" ma:versionID="5bae0020dd032759782e3b07ec62b4f8">
  <xsd:schema xmlns:xsd="http://www.w3.org/2001/XMLSchema" xmlns:xs="http://www.w3.org/2001/XMLSchema" xmlns:p="http://schemas.microsoft.com/office/2006/metadata/properties" xmlns:ns2="2cbd1512-f3e0-4ad4-9174-9a170f577fb1" xmlns:ns3="89d0b49a-c3f5-4937-b03e-3bd6a8c311a1" targetNamespace="http://schemas.microsoft.com/office/2006/metadata/properties" ma:root="true" ma:fieldsID="ec8aca75426525d5f37d500fcd26b956" ns2:_="" ns3:_="">
    <xsd:import namespace="2cbd1512-f3e0-4ad4-9174-9a170f577fb1"/>
    <xsd:import namespace="89d0b49a-c3f5-4937-b03e-3bd6a8c31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1512-f3e0-4ad4-9174-9a170f577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211368-18e4-4c8f-90a1-ddf75dec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b49a-c3f5-4937-b03e-3bd6a8c311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5401b0-557e-4b05-8914-131d6916ac7b}" ma:internalName="TaxCatchAll" ma:showField="CatchAllData" ma:web="89d0b49a-c3f5-4937-b03e-3bd6a8c31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3C0E-9F76-489E-95BF-0CC9DF9EE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651D4-B331-4010-ABBB-1C9704C880D9}">
  <ds:schemaRefs>
    <ds:schemaRef ds:uri="http://schemas.microsoft.com/office/2006/metadata/properties"/>
    <ds:schemaRef ds:uri="http://schemas.microsoft.com/office/infopath/2007/PartnerControls"/>
    <ds:schemaRef ds:uri="89d0b49a-c3f5-4937-b03e-3bd6a8c311a1"/>
    <ds:schemaRef ds:uri="2cbd1512-f3e0-4ad4-9174-9a170f577fb1"/>
  </ds:schemaRefs>
</ds:datastoreItem>
</file>

<file path=customXml/itemProps3.xml><?xml version="1.0" encoding="utf-8"?>
<ds:datastoreItem xmlns:ds="http://schemas.openxmlformats.org/officeDocument/2006/customXml" ds:itemID="{BC957822-95C6-4643-AEDE-B97505D32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1512-f3e0-4ad4-9174-9a170f577fb1"/>
    <ds:schemaRef ds:uri="89d0b49a-c3f5-4937-b03e-3bd6a8c31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16523-DF02-49B7-AD95-EE840E6F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Application_Note_Template</Template>
  <TotalTime>0</TotalTime>
  <Pages>3</Pages>
  <Words>643</Words>
  <Characters>5568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6199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mailto:support@solaredge.com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Hauf</dc:creator>
  <cp:keywords/>
  <dc:description/>
  <cp:lastModifiedBy>Michael Breitbart</cp:lastModifiedBy>
  <cp:revision>9</cp:revision>
  <cp:lastPrinted>2018-11-07T15:09:00Z</cp:lastPrinted>
  <dcterms:created xsi:type="dcterms:W3CDTF">2023-01-13T09:08:00Z</dcterms:created>
  <dcterms:modified xsi:type="dcterms:W3CDTF">2023-02-03T08:02:00Z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0x0101006FF3A0BCA06F4140B0B98C84F53A42C6</vt:lpwstr>
  </property>
  <property fmtid="{D5CDD505-2E9C-101B-9397-08002B2CF9AE}" pid="3" name="Order">
    <vt:r8>851900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