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8E5D" w14:textId="77777777" w:rsidR="00BE234D" w:rsidRDefault="00BE234D" w:rsidP="00BE234D">
      <w:r>
        <w:rPr>
          <w:b/>
          <w:bCs/>
        </w:rPr>
        <w:t>AMEM</w:t>
      </w:r>
      <w:r w:rsidRPr="00632314">
        <w:rPr>
          <w:b/>
          <w:bCs/>
        </w:rPr>
        <w:t>1315011205B</w:t>
      </w:r>
      <w:r>
        <w:rPr>
          <w:b/>
          <w:bCs/>
        </w:rPr>
        <w:tab/>
      </w:r>
      <w:r w:rsidRPr="00632314">
        <w:rPr>
          <w:b/>
          <w:bCs/>
        </w:rPr>
        <w:tab/>
        <w:t>AMTRON® 4You 560 11 C2</w:t>
      </w:r>
    </w:p>
    <w:p w14:paraId="193F49BF" w14:textId="77777777" w:rsidR="00BE234D" w:rsidRDefault="00BE234D" w:rsidP="00BE234D">
      <w:r>
        <w:tab/>
        <w:t xml:space="preserve">Allgemein • Ladung nach Mode 3 gemäß IEC 61851-1 • Steckvorrichtungen gemäß IEC 62196 • Vorbereitet für ISO 15118 • Max. Ladeleistung: 11 kW • Anschluss: 1-/ 3-phasig • Max. Ladeleistung konfigurierbar   durch Elektrofachkraft • Von außen ablesbarer geeichter   Energiezähler (MID konform)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LAN / Ethernet (RJ45) und einen externen   Router • Unterstützung des Kommunikationsprotokoll OCPP 1.6j  Möglichkeiten zum lokalen Lastmanagement • Reduzierung des Ladestroms über einen   externen Schaltkontakt (Downgrade-Eingang) • Statisches Lastmanagement • Reduzierung des Ladestroms bei ungleichmäßiger   Phasenbelastung (Schieflastbegrenzung) • Solar-Laden durch einen vorgelagerten, externen   Energiezähler • 1- / 3-phasiges Solar-Laden für Ladeleistungen   von 1,4 -11 kW inkl. dynamischer Phasenumschaltung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BE234D" w:rsidRDefault="00FB7080" w:rsidP="00BE234D"/>
    <w:sectPr w:rsidR="00FB7080" w:rsidRPr="00BE2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E5B3A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2489</Characters>
  <Application>Microsoft Office Word</Application>
  <DocSecurity>0</DocSecurity>
  <Lines>20</Lines>
  <Paragraphs>5</Paragraphs>
  <ScaleCrop>false</ScaleCrop>
  <Company>SIBLIK Elektrik Ges.m.b.H u. CO KG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2025-02-24T10:12:00Z</dcterms:created>
  <dcterms:modified xsi:type="dcterms:W3CDTF">2025-02-24T10:12:00Z</dcterms:modified>
</cp:coreProperties>
</file>