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BB" w:rsidRPr="00EB041F" w:rsidRDefault="00493DBB" w:rsidP="00493DBB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43"/>
      <w:r w:rsidRPr="00EB041F">
        <w:rPr>
          <w:color w:val="262626"/>
        </w:rPr>
        <w:t>Homematic IP Kontakt-Schnittstelle Unterputz – 1-fach #153489A0</w:t>
      </w:r>
      <w:bookmarkEnd w:id="0"/>
    </w:p>
    <w:p w:rsidR="00493DBB" w:rsidRPr="00EB041F" w:rsidRDefault="00493DBB" w:rsidP="00493DBB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Die Homematic IP Kontakt-Schnittstelle Unterputz – 1-fach ermöglicht die unkomplizierte Integration eines konventionellen Schalters, Tasters oder Kontaktes in das Homematic IP Smart-Home-System.</w:t>
      </w:r>
    </w:p>
    <w:p w:rsidR="00493DBB" w:rsidRPr="00EB041F" w:rsidRDefault="00493DBB" w:rsidP="00493DBB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In Kombination mit Homematic IP Aktoren lassen sich beispielsweise bestehende Lampen oder Rollläden zukünftig per Funk über das Homematic IP System intelligent steuern und flexibel automatisieren. Alternativ kann die Kontakt-Schnittstelle auch zum Aktivieren oder Deaktivieren des Eco-Betriebs in Verbindung mit Homematic IP Raumklima-Produkten eingesetzt werden. Die Montage gestaltet sich denkbar einfach, da einzig die mitgelieferten Leitungen der Kontakt-Schnittstelle angeschlossen werden müssen und dank langlebiger Lithium-Batterie-Stromversorgung keine externe Stromversorgung für den Betrieb notwendig ist. Nach erfolgreicher Installation und Inbetriebnahme per Homematic IP Access Point, </w:t>
      </w:r>
      <w:r w:rsidR="005B72F4">
        <w:rPr>
          <w:rFonts w:ascii="Arial" w:hAnsi="Arial" w:cs="Arial"/>
          <w:color w:val="262626"/>
        </w:rPr>
        <w:t>der</w:t>
      </w:r>
      <w:r w:rsidRPr="00EB041F">
        <w:rPr>
          <w:rFonts w:ascii="Arial" w:hAnsi="Arial" w:cs="Arial"/>
          <w:color w:val="262626"/>
        </w:rPr>
        <w:t xml:space="preserve"> Zentrale CCU3 oder einer geeigneten Partnerlösung, lässt sich der jeweilige Schaltzustand ermitteln und individuell steuern. Aufgrund der geringen Einbautiefe von rund 12 mm, passt die flache Unterputzschnittstelle sogar in Standard-Unterputzdosen und kann direkt hinter den bereits verbauten Schaltereinsatz platziert werden. Dieser wird anschließend einfach weiterverwendet. </w:t>
      </w:r>
    </w:p>
    <w:p w:rsidR="00493DBB" w:rsidRPr="00EB041F" w:rsidRDefault="00493DBB" w:rsidP="00493DBB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EB041F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493DBB" w:rsidRPr="00EB041F" w:rsidRDefault="00493DBB" w:rsidP="00493DBB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493DBB" w:rsidRPr="00EB041F" w:rsidRDefault="00493DBB" w:rsidP="00493DBB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Ermöglicht die Nachrüstung von konventionellen, potentialfreien Tastern, Schaltern oder Kontakten für eine intelligente und individuelle Steuerung per Funk.</w:t>
      </w:r>
    </w:p>
    <w:p w:rsidR="00493DBB" w:rsidRPr="00EB041F" w:rsidRDefault="00493DBB" w:rsidP="00493DBB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:rsidR="00493DBB" w:rsidRPr="00EB041F" w:rsidRDefault="00493DBB" w:rsidP="00493DBB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Kann beispielsweise zur intelligenten Steuerung von konventionellen Lampen oder Rollläden über Homematic IP Aktoren eingesetzt werden.</w:t>
      </w:r>
    </w:p>
    <w:p w:rsidR="00493DBB" w:rsidRPr="00EB041F" w:rsidRDefault="00493DBB" w:rsidP="00493DBB">
      <w:pPr>
        <w:pStyle w:val="Listenabsatz"/>
        <w:ind w:left="567" w:hanging="563"/>
        <w:rPr>
          <w:rFonts w:ascii="Arial" w:hAnsi="Arial" w:cs="Arial"/>
          <w:color w:val="262626"/>
        </w:rPr>
      </w:pPr>
    </w:p>
    <w:p w:rsidR="00493DBB" w:rsidRPr="00EB041F" w:rsidRDefault="00493DBB" w:rsidP="00493DBB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Die besonders flache Bauform ermöglicht den direkten Einbau hinter dem bereits verbauten Schaltereinsatz in Standard-Unterputzdosen.</w:t>
      </w:r>
    </w:p>
    <w:p w:rsidR="00493DBB" w:rsidRPr="00EB041F" w:rsidRDefault="00493DBB" w:rsidP="00493DBB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:rsidR="00493DBB" w:rsidRPr="00EB041F" w:rsidRDefault="00493DBB" w:rsidP="00493DBB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Dank langlebiger, austauschbarer Lithium-CR2032-Batterie ist kein Anschluss an eine Stromversorgung notwendig. </w:t>
      </w:r>
    </w:p>
    <w:p w:rsidR="00493DBB" w:rsidRPr="00EB041F" w:rsidRDefault="00493DBB" w:rsidP="00493DBB">
      <w:pPr>
        <w:pStyle w:val="Listenabsatz"/>
        <w:ind w:left="567" w:hanging="563"/>
        <w:rPr>
          <w:rFonts w:ascii="Arial" w:hAnsi="Arial" w:cs="Arial"/>
          <w:color w:val="262626"/>
        </w:rPr>
      </w:pPr>
    </w:p>
    <w:p w:rsidR="00493DBB" w:rsidRPr="00EB041F" w:rsidRDefault="00493DBB" w:rsidP="00493DBB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6B24E3" w:rsidRPr="00493DBB" w:rsidRDefault="006B24E3" w:rsidP="00493DBB"/>
    <w:sectPr w:rsidR="006B24E3" w:rsidRPr="00493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1206DF"/>
    <w:rsid w:val="001718A2"/>
    <w:rsid w:val="00181883"/>
    <w:rsid w:val="002F453B"/>
    <w:rsid w:val="003D346C"/>
    <w:rsid w:val="00493DBB"/>
    <w:rsid w:val="005B72F4"/>
    <w:rsid w:val="00671CE3"/>
    <w:rsid w:val="006B24E3"/>
    <w:rsid w:val="009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17D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2204</Characters>
  <Application>Microsoft Office Word</Application>
  <DocSecurity>0</DocSecurity>
  <Lines>62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2020-06-22T05:27:00Z</dcterms:created>
  <dcterms:modified xsi:type="dcterms:W3CDTF">2021-10-27T08:04:00Z</dcterms:modified>
</cp:coreProperties>
</file>