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519" w:rsidRPr="00EB041F" w:rsidRDefault="00A36519" w:rsidP="00A36519">
      <w:pPr>
        <w:pStyle w:val="Aberschrift"/>
        <w:numPr>
          <w:ilvl w:val="0"/>
          <w:numId w:val="0"/>
        </w:numPr>
        <w:rPr>
          <w:color w:val="262626"/>
        </w:rPr>
      </w:pPr>
      <w:bookmarkStart w:id="0" w:name="_Toc43218172"/>
      <w:r w:rsidRPr="00EB041F">
        <w:rPr>
          <w:color w:val="262626"/>
        </w:rPr>
        <w:t>Homematic IP Bewegungsmelder mit Dämmerungssensor – außen #</w:t>
      </w:r>
      <w:r w:rsidR="00C80705" w:rsidRPr="00C80705">
        <w:rPr>
          <w:color w:val="262626"/>
        </w:rPr>
        <w:t>156203A0</w:t>
      </w:r>
      <w:r w:rsidRPr="00EB041F">
        <w:rPr>
          <w:color w:val="262626"/>
        </w:rPr>
        <w:t>/ #</w:t>
      </w:r>
      <w:bookmarkEnd w:id="0"/>
      <w:r w:rsidR="00C80705" w:rsidRPr="00C80705">
        <w:rPr>
          <w:color w:val="262626"/>
        </w:rPr>
        <w:t>156227A0</w:t>
      </w:r>
    </w:p>
    <w:p w:rsidR="00A36519" w:rsidRPr="00EB041F" w:rsidRDefault="00A36519" w:rsidP="00A36519">
      <w:pPr>
        <w:jc w:val="both"/>
        <w:rPr>
          <w:rFonts w:ascii="Arial" w:hAnsi="Arial" w:cs="Arial"/>
          <w:color w:val="262626"/>
        </w:rPr>
      </w:pPr>
      <w:r w:rsidRPr="00EB041F">
        <w:rPr>
          <w:rFonts w:ascii="Arial" w:hAnsi="Arial" w:cs="Arial"/>
          <w:color w:val="262626"/>
        </w:rPr>
        <w:t xml:space="preserve">Der Homematic IP Bewegungsmelder mit Dämmerungssensor ist Teil des Homematic IP Smart-Home-Systems und erkennt sowohl innen als auch außen zuverlässig Bewegungen und Veränderungen der Umgebungshelligkeit. Der Bewegungsmelder kann im Homematic IP System als Alarmsensor zum Einsatz kommen oder zum helligkeitsabhängigen Schalten von Licht genutzt werden, indem er über die kostenlose App mit weiteren Homematic IP Produkten verknüpft wird. Dabei lässt sich die Einschaltdauer zeitlich begrenzen. Neben der Bewegungserkennung meldet der integrierte Dämmerungssensor auch den jeweiligen Helligkeitswert an die Homematic IP App. </w:t>
      </w:r>
    </w:p>
    <w:p w:rsidR="00A36519" w:rsidRPr="00EB041F" w:rsidRDefault="00A36519" w:rsidP="00A36519">
      <w:pPr>
        <w:jc w:val="both"/>
        <w:rPr>
          <w:rFonts w:ascii="Arial" w:hAnsi="Arial" w:cs="Arial"/>
          <w:color w:val="262626"/>
        </w:rPr>
      </w:pPr>
      <w:r w:rsidRPr="00EB041F">
        <w:rPr>
          <w:rFonts w:ascii="Arial" w:hAnsi="Arial" w:cs="Arial"/>
          <w:color w:val="262626"/>
        </w:rPr>
        <w:t xml:space="preserve">Der spritzwassergeschützte Sensor arbeitet zuverlässig bei Temperaturen zwischen minus 20 °C und plus 55 °C. Dabei deckt er eine Reichweite von bis zu 12 Metern und einen Erfassungswinkel von rund 90° ab. Darüber hinaus ist er um 360° drehbar. Dank der kompakten Abmaße und der Funk-Kommunikation, kann der Sensor sehr flexibel platziert werden. Das benötigte Montagematerial, die Wandhalterung und zwei AA-Batterien, welche den Bewegungsmelder für bis zu </w:t>
      </w:r>
      <w:r w:rsidR="00C80705">
        <w:rPr>
          <w:rFonts w:ascii="Arial" w:hAnsi="Arial" w:cs="Arial"/>
          <w:color w:val="262626"/>
        </w:rPr>
        <w:t>sechs</w:t>
      </w:r>
      <w:r w:rsidRPr="00EB041F">
        <w:rPr>
          <w:rFonts w:ascii="Arial" w:hAnsi="Arial" w:cs="Arial"/>
          <w:color w:val="262626"/>
        </w:rPr>
        <w:t xml:space="preserve"> Jahre mit Energie versorgen können, sind im Lieferumfang enthalten. </w:t>
      </w:r>
    </w:p>
    <w:p w:rsidR="00A36519" w:rsidRPr="00EB041F" w:rsidRDefault="00A36519" w:rsidP="00A36519">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A36519" w:rsidRPr="00EB041F" w:rsidRDefault="00A36519" w:rsidP="00A36519">
      <w:pPr>
        <w:rPr>
          <w:rFonts w:ascii="Arial" w:hAnsi="Arial" w:cs="Arial"/>
          <w:b/>
          <w:color w:val="262626"/>
        </w:rPr>
      </w:pPr>
      <w:r w:rsidRPr="00EB041F">
        <w:rPr>
          <w:rFonts w:ascii="Arial" w:hAnsi="Arial" w:cs="Arial"/>
          <w:b/>
          <w:color w:val="262626"/>
        </w:rPr>
        <w:t xml:space="preserve">Produkteigenschaften </w:t>
      </w:r>
    </w:p>
    <w:p w:rsidR="00A36519" w:rsidRPr="00EB041F" w:rsidRDefault="00A36519" w:rsidP="00A36519">
      <w:pPr>
        <w:pStyle w:val="Listenabsatz"/>
        <w:numPr>
          <w:ilvl w:val="0"/>
          <w:numId w:val="28"/>
        </w:numPr>
        <w:spacing w:after="160" w:line="259" w:lineRule="auto"/>
        <w:ind w:left="568" w:hanging="568"/>
        <w:rPr>
          <w:rFonts w:ascii="Arial" w:hAnsi="Arial" w:cs="Arial"/>
          <w:color w:val="262626"/>
        </w:rPr>
      </w:pPr>
      <w:r w:rsidRPr="00EB041F">
        <w:rPr>
          <w:rFonts w:ascii="Arial" w:hAnsi="Arial" w:cs="Arial"/>
          <w:color w:val="262626"/>
        </w:rPr>
        <w:t xml:space="preserve">Erkennt Bewegungen und schaltet Licht mithilfe von Homematic IP Aktoren helligkeits- und/oder zeitabhängig ein. </w:t>
      </w:r>
    </w:p>
    <w:p w:rsidR="00A36519" w:rsidRPr="00EB041F" w:rsidRDefault="00A36519" w:rsidP="00A36519">
      <w:pPr>
        <w:pStyle w:val="Listenabsatz"/>
        <w:ind w:left="567" w:hanging="568"/>
        <w:rPr>
          <w:rFonts w:ascii="Arial" w:hAnsi="Arial" w:cs="Arial"/>
          <w:color w:val="262626"/>
        </w:rPr>
      </w:pPr>
      <w:r w:rsidRPr="00EB041F">
        <w:rPr>
          <w:rFonts w:ascii="Arial" w:hAnsi="Arial" w:cs="Arial"/>
          <w:color w:val="262626"/>
        </w:rPr>
        <w:t xml:space="preserve">  </w:t>
      </w:r>
    </w:p>
    <w:p w:rsidR="00A36519" w:rsidRPr="00EB041F" w:rsidRDefault="00A36519" w:rsidP="00A36519">
      <w:pPr>
        <w:pStyle w:val="Listenabsatz"/>
        <w:numPr>
          <w:ilvl w:val="0"/>
          <w:numId w:val="28"/>
        </w:numPr>
        <w:spacing w:after="160" w:line="259" w:lineRule="auto"/>
        <w:ind w:left="568" w:hanging="568"/>
        <w:rPr>
          <w:rFonts w:ascii="Arial" w:hAnsi="Arial" w:cs="Arial"/>
          <w:color w:val="262626"/>
        </w:rPr>
      </w:pPr>
      <w:r w:rsidRPr="00EB041F">
        <w:rPr>
          <w:rFonts w:ascii="Arial" w:hAnsi="Arial" w:cs="Arial"/>
          <w:color w:val="262626"/>
        </w:rPr>
        <w:t xml:space="preserve">Erfassungsreichweite bis 12 m, Erfassungswinkel ca. 90°, um 360° drehbar. </w:t>
      </w:r>
    </w:p>
    <w:p w:rsidR="00A36519" w:rsidRPr="00EB041F" w:rsidRDefault="00A36519" w:rsidP="00A36519">
      <w:pPr>
        <w:pStyle w:val="Listenabsatz"/>
        <w:ind w:left="567" w:hanging="568"/>
        <w:rPr>
          <w:rFonts w:ascii="Arial" w:hAnsi="Arial" w:cs="Arial"/>
          <w:color w:val="262626"/>
        </w:rPr>
      </w:pPr>
      <w:r w:rsidRPr="00EB041F">
        <w:rPr>
          <w:rFonts w:ascii="Arial" w:hAnsi="Arial" w:cs="Arial"/>
          <w:color w:val="262626"/>
        </w:rPr>
        <w:t xml:space="preserve">  </w:t>
      </w:r>
    </w:p>
    <w:p w:rsidR="00A36519" w:rsidRPr="00EB041F" w:rsidRDefault="00A36519" w:rsidP="00A36519">
      <w:pPr>
        <w:pStyle w:val="Listenabsatz"/>
        <w:numPr>
          <w:ilvl w:val="0"/>
          <w:numId w:val="28"/>
        </w:numPr>
        <w:spacing w:after="160" w:line="259" w:lineRule="auto"/>
        <w:ind w:left="568" w:hanging="568"/>
        <w:rPr>
          <w:rFonts w:ascii="Arial" w:hAnsi="Arial" w:cs="Arial"/>
          <w:color w:val="262626"/>
        </w:rPr>
      </w:pPr>
      <w:r w:rsidRPr="00EB041F">
        <w:rPr>
          <w:rFonts w:ascii="Arial" w:hAnsi="Arial" w:cs="Arial"/>
          <w:color w:val="262626"/>
        </w:rPr>
        <w:t xml:space="preserve">Differenzierung der Helligkeit sowohl im Bereich der Dämmerung, als auch zwischen Sonnenschein und Bewölkung ermöglicht bedarfsgerechtes Schalten von Licht bei frei einstellbaren Dämmerungswerten. </w:t>
      </w:r>
    </w:p>
    <w:p w:rsidR="00A36519" w:rsidRPr="00EB041F" w:rsidRDefault="00A36519" w:rsidP="00A36519">
      <w:pPr>
        <w:pStyle w:val="Listenabsatz"/>
        <w:ind w:left="567" w:hanging="568"/>
        <w:rPr>
          <w:rFonts w:ascii="Arial" w:hAnsi="Arial" w:cs="Arial"/>
          <w:color w:val="262626"/>
        </w:rPr>
      </w:pPr>
    </w:p>
    <w:p w:rsidR="00A36519" w:rsidRPr="00EB041F" w:rsidRDefault="00A36519" w:rsidP="00A36519">
      <w:pPr>
        <w:pStyle w:val="Listenabsatz"/>
        <w:numPr>
          <w:ilvl w:val="0"/>
          <w:numId w:val="28"/>
        </w:numPr>
        <w:spacing w:after="160" w:line="259" w:lineRule="auto"/>
        <w:ind w:left="568" w:hanging="568"/>
        <w:rPr>
          <w:rFonts w:ascii="Arial" w:hAnsi="Arial" w:cs="Arial"/>
          <w:color w:val="262626"/>
        </w:rPr>
      </w:pPr>
      <w:r w:rsidRPr="00EB041F">
        <w:rPr>
          <w:rFonts w:ascii="Arial" w:hAnsi="Arial" w:cs="Arial"/>
          <w:color w:val="262626"/>
        </w:rPr>
        <w:t xml:space="preserve">Für den Innen- und Außeneinsatz geeignet: Ideal für die Überwachung von Garagen oder Geräteschuppen durch den Einsatz bei Umgebungstemperaturen von -20 bis +55 °C. </w:t>
      </w:r>
    </w:p>
    <w:p w:rsidR="00A36519" w:rsidRPr="00EB041F" w:rsidRDefault="00A36519" w:rsidP="00A36519">
      <w:pPr>
        <w:pStyle w:val="Listenabsatz"/>
        <w:rPr>
          <w:rFonts w:ascii="Arial" w:hAnsi="Arial" w:cs="Arial"/>
          <w:color w:val="262626"/>
        </w:rPr>
      </w:pPr>
    </w:p>
    <w:p w:rsidR="00A36519" w:rsidRPr="00EB041F" w:rsidRDefault="00A36519" w:rsidP="00A36519">
      <w:pPr>
        <w:pStyle w:val="Listenabsatz"/>
        <w:numPr>
          <w:ilvl w:val="0"/>
          <w:numId w:val="28"/>
        </w:numPr>
        <w:spacing w:after="160" w:line="259" w:lineRule="auto"/>
        <w:ind w:left="568" w:hanging="568"/>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A36519" w:rsidRPr="00EB041F" w:rsidRDefault="00A36519" w:rsidP="00A36519">
      <w:pPr>
        <w:pStyle w:val="Listenabsatz"/>
        <w:spacing w:after="160" w:line="259" w:lineRule="auto"/>
        <w:ind w:left="0"/>
        <w:rPr>
          <w:rFonts w:ascii="Arial" w:hAnsi="Arial" w:cs="Arial"/>
          <w:color w:val="262626"/>
        </w:rPr>
      </w:pPr>
      <w:bookmarkStart w:id="1" w:name="_GoBack"/>
      <w:bookmarkEnd w:id="1"/>
    </w:p>
    <w:p w:rsidR="006B24E3" w:rsidRPr="00A36519" w:rsidRDefault="006B24E3" w:rsidP="00A36519"/>
    <w:sectPr w:rsidR="006B24E3" w:rsidRPr="00A365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51417"/>
    <w:multiLevelType w:val="hybridMultilevel"/>
    <w:tmpl w:val="D0746B86"/>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6743C8"/>
    <w:multiLevelType w:val="hybridMultilevel"/>
    <w:tmpl w:val="43B85C4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4A6205"/>
    <w:multiLevelType w:val="hybridMultilevel"/>
    <w:tmpl w:val="3D5E9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D27589"/>
    <w:multiLevelType w:val="hybridMultilevel"/>
    <w:tmpl w:val="D4E84E1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BE3722"/>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722E62"/>
    <w:multiLevelType w:val="hybridMultilevel"/>
    <w:tmpl w:val="48AE87A0"/>
    <w:lvl w:ilvl="0" w:tplc="0407000F">
      <w:start w:val="1"/>
      <w:numFmt w:val="decimal"/>
      <w:lvlText w:val="%1."/>
      <w:lvlJc w:val="left"/>
      <w:pPr>
        <w:ind w:left="420" w:hanging="360"/>
      </w:pPr>
      <w:rPr>
        <w:rFonts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9"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9E4197"/>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E960F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6"/>
  </w:num>
  <w:num w:numId="5">
    <w:abstractNumId w:val="22"/>
  </w:num>
  <w:num w:numId="6">
    <w:abstractNumId w:val="1"/>
  </w:num>
  <w:num w:numId="7">
    <w:abstractNumId w:val="10"/>
  </w:num>
  <w:num w:numId="8">
    <w:abstractNumId w:val="3"/>
  </w:num>
  <w:num w:numId="9">
    <w:abstractNumId w:val="24"/>
  </w:num>
  <w:num w:numId="10">
    <w:abstractNumId w:val="12"/>
  </w:num>
  <w:num w:numId="11">
    <w:abstractNumId w:val="13"/>
  </w:num>
  <w:num w:numId="12">
    <w:abstractNumId w:val="7"/>
  </w:num>
  <w:num w:numId="13">
    <w:abstractNumId w:val="9"/>
  </w:num>
  <w:num w:numId="14">
    <w:abstractNumId w:val="4"/>
  </w:num>
  <w:num w:numId="15">
    <w:abstractNumId w:val="0"/>
  </w:num>
  <w:num w:numId="16">
    <w:abstractNumId w:val="19"/>
  </w:num>
  <w:num w:numId="17">
    <w:abstractNumId w:val="25"/>
  </w:num>
  <w:num w:numId="18">
    <w:abstractNumId w:val="23"/>
  </w:num>
  <w:num w:numId="19">
    <w:abstractNumId w:val="27"/>
  </w:num>
  <w:num w:numId="20">
    <w:abstractNumId w:val="14"/>
  </w:num>
  <w:num w:numId="21">
    <w:abstractNumId w:val="8"/>
  </w:num>
  <w:num w:numId="22">
    <w:abstractNumId w:val="11"/>
  </w:num>
  <w:num w:numId="23">
    <w:abstractNumId w:val="18"/>
  </w:num>
  <w:num w:numId="24">
    <w:abstractNumId w:val="2"/>
  </w:num>
  <w:num w:numId="25">
    <w:abstractNumId w:val="17"/>
  </w:num>
  <w:num w:numId="26">
    <w:abstractNumId w:val="21"/>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0E34B6"/>
    <w:rsid w:val="001206DF"/>
    <w:rsid w:val="001718A2"/>
    <w:rsid w:val="00181883"/>
    <w:rsid w:val="00221CBB"/>
    <w:rsid w:val="00291577"/>
    <w:rsid w:val="002F453B"/>
    <w:rsid w:val="003D346C"/>
    <w:rsid w:val="00493DBB"/>
    <w:rsid w:val="00671CE3"/>
    <w:rsid w:val="006B24E3"/>
    <w:rsid w:val="00831387"/>
    <w:rsid w:val="008650CA"/>
    <w:rsid w:val="008E0B05"/>
    <w:rsid w:val="0094159B"/>
    <w:rsid w:val="00970FFA"/>
    <w:rsid w:val="009A1F3F"/>
    <w:rsid w:val="009B7664"/>
    <w:rsid w:val="009E7927"/>
    <w:rsid w:val="00A36519"/>
    <w:rsid w:val="00B00F3E"/>
    <w:rsid w:val="00B438D3"/>
    <w:rsid w:val="00C8006B"/>
    <w:rsid w:val="00C80705"/>
    <w:rsid w:val="00CC117E"/>
    <w:rsid w:val="00D71747"/>
    <w:rsid w:val="00D77B62"/>
    <w:rsid w:val="00D86FBD"/>
    <w:rsid w:val="00E079A3"/>
    <w:rsid w:val="00E16F25"/>
    <w:rsid w:val="00E73621"/>
    <w:rsid w:val="00E86876"/>
    <w:rsid w:val="00EF45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A6FB"/>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2126</Characters>
  <Application>Microsoft Office Word</Application>
  <DocSecurity>0</DocSecurity>
  <Lines>60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4</cp:revision>
  <dcterms:created xsi:type="dcterms:W3CDTF">2020-06-22T06:41:00Z</dcterms:created>
  <dcterms:modified xsi:type="dcterms:W3CDTF">2021-10-27T06:20:00Z</dcterms:modified>
</cp:coreProperties>
</file>